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432921" w14:textId="4AC248CD" w:rsidR="00E33195" w:rsidRPr="003121EC" w:rsidRDefault="003121EC" w:rsidP="0006539A">
      <w:pPr>
        <w:jc w:val="both"/>
        <w:rPr>
          <w:rFonts w:ascii="Arial" w:hAnsi="Arial" w:cs="Arial"/>
          <w:b/>
          <w:bCs/>
        </w:rPr>
      </w:pPr>
      <w:r w:rsidRPr="003121EC">
        <w:rPr>
          <w:rFonts w:ascii="Arial" w:hAnsi="Arial" w:cs="Arial" w:hint="eastAsia"/>
          <w:b/>
          <w:bCs/>
        </w:rPr>
        <w:t>3</w:t>
      </w:r>
      <w:r w:rsidRPr="003121EC">
        <w:rPr>
          <w:rFonts w:ascii="Arial" w:hAnsi="Arial" w:cs="Arial"/>
          <w:b/>
          <w:bCs/>
        </w:rPr>
        <w:t>GPP TSG-RAN WG2 Meeting #</w:t>
      </w:r>
      <w:r w:rsidR="0006539A">
        <w:rPr>
          <w:rFonts w:ascii="Arial" w:hAnsi="Arial" w:cs="Arial"/>
          <w:b/>
          <w:bCs/>
        </w:rPr>
        <w:t>12</w:t>
      </w:r>
      <w:r w:rsidR="00AB14A2">
        <w:rPr>
          <w:rFonts w:ascii="Arial" w:hAnsi="Arial" w:cs="Arial"/>
          <w:b/>
          <w:bCs/>
        </w:rPr>
        <w:t>2</w:t>
      </w:r>
      <w:r w:rsidR="00AB14A2">
        <w:rPr>
          <w:rFonts w:ascii="Arial" w:hAnsi="Arial" w:cs="Arial"/>
          <w:b/>
          <w:bCs/>
        </w:rPr>
        <w:tab/>
      </w:r>
      <w:r w:rsidR="0006539A">
        <w:rPr>
          <w:rFonts w:ascii="Arial" w:hAnsi="Arial" w:cs="Arial"/>
          <w:b/>
          <w:bCs/>
        </w:rPr>
        <w:tab/>
      </w:r>
      <w:r w:rsidR="0006539A">
        <w:rPr>
          <w:rFonts w:ascii="Arial" w:hAnsi="Arial" w:cs="Arial"/>
          <w:b/>
          <w:bCs/>
        </w:rPr>
        <w:tab/>
      </w:r>
      <w:r w:rsidR="0006539A">
        <w:rPr>
          <w:rFonts w:ascii="Arial" w:hAnsi="Arial" w:cs="Arial"/>
          <w:b/>
          <w:bCs/>
        </w:rPr>
        <w:tab/>
      </w:r>
      <w:r w:rsidR="0006539A">
        <w:rPr>
          <w:rFonts w:ascii="Arial" w:hAnsi="Arial" w:cs="Arial"/>
          <w:b/>
          <w:bCs/>
        </w:rPr>
        <w:tab/>
      </w:r>
      <w:r w:rsidR="0006539A">
        <w:rPr>
          <w:rFonts w:ascii="Arial" w:hAnsi="Arial" w:cs="Arial"/>
          <w:b/>
          <w:bCs/>
        </w:rPr>
        <w:tab/>
        <w:t xml:space="preserve">  </w:t>
      </w:r>
      <w:r w:rsidRPr="003121EC">
        <w:rPr>
          <w:rFonts w:ascii="Arial" w:hAnsi="Arial" w:cs="Arial"/>
          <w:b/>
          <w:bCs/>
        </w:rPr>
        <w:t>R2-2</w:t>
      </w:r>
      <w:r w:rsidR="00456421">
        <w:rPr>
          <w:rFonts w:ascii="Arial" w:hAnsi="Arial" w:cs="Arial" w:hint="eastAsia"/>
          <w:b/>
          <w:bCs/>
        </w:rPr>
        <w:t>3</w:t>
      </w:r>
      <w:r w:rsidR="00456421">
        <w:rPr>
          <w:rFonts w:ascii="Arial" w:hAnsi="Arial" w:cs="Arial"/>
          <w:b/>
          <w:bCs/>
        </w:rPr>
        <w:t>0</w:t>
      </w:r>
      <w:r w:rsidR="00B07CB4">
        <w:rPr>
          <w:rFonts w:ascii="Arial" w:hAnsi="Arial" w:cs="Arial"/>
          <w:b/>
          <w:bCs/>
        </w:rPr>
        <w:t>6500</w:t>
      </w:r>
    </w:p>
    <w:p w14:paraId="16FD842A" w14:textId="77AAEFFA" w:rsidR="003121EC" w:rsidRPr="003121EC" w:rsidRDefault="00AB14A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Incheon, Korea</w:t>
      </w:r>
      <w:r w:rsidR="00E2710D">
        <w:rPr>
          <w:rFonts w:ascii="Arial" w:hAnsi="Arial" w:cs="Arial"/>
          <w:b/>
          <w:bCs/>
        </w:rPr>
        <w:t>,</w:t>
      </w:r>
      <w:r w:rsidR="003121EC" w:rsidRPr="003121E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May</w:t>
      </w:r>
      <w:r w:rsidR="00657C35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22</w:t>
      </w:r>
      <w:r w:rsidR="003121EC" w:rsidRPr="003121EC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/>
          <w:b/>
          <w:bCs/>
        </w:rPr>
        <w:t>May</w:t>
      </w:r>
      <w:r w:rsidR="003121EC" w:rsidRPr="003121EC">
        <w:rPr>
          <w:rFonts w:ascii="Arial" w:hAnsi="Arial" w:cs="Arial"/>
          <w:b/>
          <w:bCs/>
        </w:rPr>
        <w:t xml:space="preserve"> </w:t>
      </w:r>
      <w:r w:rsidR="00E93BCB">
        <w:rPr>
          <w:rFonts w:ascii="Arial" w:hAnsi="Arial" w:cs="Arial"/>
          <w:b/>
          <w:bCs/>
        </w:rPr>
        <w:t>26</w:t>
      </w:r>
      <w:r w:rsidR="003121EC" w:rsidRPr="003121EC">
        <w:rPr>
          <w:rFonts w:ascii="Arial" w:hAnsi="Arial" w:cs="Arial"/>
          <w:b/>
          <w:bCs/>
        </w:rPr>
        <w:t>, 202</w:t>
      </w:r>
      <w:r w:rsidR="00657C35">
        <w:rPr>
          <w:rFonts w:ascii="Arial" w:hAnsi="Arial" w:cs="Arial"/>
          <w:b/>
          <w:bCs/>
        </w:rPr>
        <w:t>3</w:t>
      </w:r>
    </w:p>
    <w:p w14:paraId="5652D157" w14:textId="4235EC8B" w:rsidR="003121EC" w:rsidRPr="00AB14A2" w:rsidRDefault="003121EC">
      <w:pPr>
        <w:rPr>
          <w:rFonts w:ascii="Arial" w:hAnsi="Arial" w:cs="Arial"/>
          <w:b/>
          <w:bCs/>
        </w:rPr>
      </w:pPr>
    </w:p>
    <w:p w14:paraId="29C06697" w14:textId="437A65D2" w:rsidR="003121EC" w:rsidRPr="003121EC" w:rsidRDefault="003121EC">
      <w:pPr>
        <w:rPr>
          <w:rFonts w:ascii="Arial" w:hAnsi="Arial" w:cs="Arial"/>
          <w:b/>
          <w:bCs/>
        </w:rPr>
      </w:pPr>
      <w:r w:rsidRPr="002F11DC">
        <w:rPr>
          <w:rFonts w:ascii="Arial" w:hAnsi="Arial" w:cs="Arial" w:hint="eastAsia"/>
          <w:b/>
          <w:bCs/>
        </w:rPr>
        <w:t>A</w:t>
      </w:r>
      <w:r w:rsidRPr="002F11DC">
        <w:rPr>
          <w:rFonts w:ascii="Arial" w:hAnsi="Arial" w:cs="Arial"/>
          <w:b/>
          <w:bCs/>
        </w:rPr>
        <w:t>genda item:</w:t>
      </w:r>
      <w:r w:rsidRPr="002F11DC">
        <w:rPr>
          <w:rFonts w:ascii="Arial" w:hAnsi="Arial" w:cs="Arial"/>
          <w:b/>
          <w:bCs/>
        </w:rPr>
        <w:tab/>
      </w:r>
      <w:r w:rsidR="00DF3376" w:rsidRPr="00DF3376">
        <w:rPr>
          <w:rFonts w:ascii="Arial" w:hAnsi="Arial" w:cs="Arial"/>
          <w:b/>
          <w:bCs/>
        </w:rPr>
        <w:t>7</w:t>
      </w:r>
      <w:r w:rsidRPr="00DF3376">
        <w:rPr>
          <w:rFonts w:ascii="Arial" w:hAnsi="Arial" w:cs="Arial"/>
          <w:b/>
          <w:bCs/>
        </w:rPr>
        <w:t>.</w:t>
      </w:r>
      <w:r w:rsidR="00DF3376" w:rsidRPr="00DF3376">
        <w:rPr>
          <w:rFonts w:ascii="Arial" w:hAnsi="Arial" w:cs="Arial"/>
          <w:b/>
          <w:bCs/>
        </w:rPr>
        <w:t>3</w:t>
      </w:r>
      <w:r w:rsidRPr="00DF3376">
        <w:rPr>
          <w:rFonts w:ascii="Arial" w:hAnsi="Arial" w:cs="Arial"/>
          <w:b/>
          <w:bCs/>
        </w:rPr>
        <w:t>.</w:t>
      </w:r>
      <w:r w:rsidR="00DF3376" w:rsidRPr="00DF3376">
        <w:rPr>
          <w:rFonts w:ascii="Arial" w:hAnsi="Arial" w:cs="Arial"/>
          <w:b/>
          <w:bCs/>
        </w:rPr>
        <w:t>2</w:t>
      </w:r>
    </w:p>
    <w:p w14:paraId="71DAD564" w14:textId="560223FF" w:rsidR="003121EC" w:rsidRPr="003121EC" w:rsidRDefault="003121EC">
      <w:pPr>
        <w:rPr>
          <w:rFonts w:ascii="Arial" w:hAnsi="Arial" w:cs="Arial"/>
          <w:b/>
          <w:bCs/>
        </w:rPr>
      </w:pPr>
      <w:r w:rsidRPr="003121EC">
        <w:rPr>
          <w:rFonts w:ascii="Arial" w:hAnsi="Arial" w:cs="Arial" w:hint="eastAsia"/>
          <w:b/>
          <w:bCs/>
        </w:rPr>
        <w:t>S</w:t>
      </w:r>
      <w:r w:rsidRPr="003121EC">
        <w:rPr>
          <w:rFonts w:ascii="Arial" w:hAnsi="Arial" w:cs="Arial"/>
          <w:b/>
          <w:bCs/>
        </w:rPr>
        <w:t>ource:</w:t>
      </w:r>
      <w:r w:rsidRPr="003121EC">
        <w:rPr>
          <w:rFonts w:ascii="Arial" w:hAnsi="Arial" w:cs="Arial"/>
          <w:b/>
          <w:bCs/>
        </w:rPr>
        <w:tab/>
      </w:r>
      <w:r w:rsidRPr="003121EC">
        <w:rPr>
          <w:rFonts w:ascii="Arial" w:hAnsi="Arial" w:cs="Arial"/>
          <w:b/>
          <w:bCs/>
        </w:rPr>
        <w:tab/>
      </w:r>
      <w:r w:rsidRPr="003121EC">
        <w:rPr>
          <w:rFonts w:ascii="Arial" w:hAnsi="Arial" w:cs="Arial"/>
          <w:b/>
          <w:bCs/>
        </w:rPr>
        <w:tab/>
        <w:t>MediaTek</w:t>
      </w:r>
      <w:r w:rsidR="00E2710D">
        <w:rPr>
          <w:rFonts w:ascii="Arial" w:hAnsi="Arial" w:cs="Arial"/>
          <w:b/>
          <w:bCs/>
        </w:rPr>
        <w:t xml:space="preserve"> </w:t>
      </w:r>
      <w:r w:rsidRPr="003121EC">
        <w:rPr>
          <w:rFonts w:ascii="Arial" w:hAnsi="Arial" w:cs="Arial"/>
          <w:b/>
          <w:bCs/>
        </w:rPr>
        <w:t>Inc.</w:t>
      </w:r>
    </w:p>
    <w:p w14:paraId="2054EB51" w14:textId="17B737EA" w:rsidR="003121EC" w:rsidRPr="003121EC" w:rsidRDefault="003121EC" w:rsidP="00E2710D">
      <w:pPr>
        <w:ind w:left="1920" w:hanging="1920"/>
        <w:rPr>
          <w:rFonts w:ascii="Arial" w:hAnsi="Arial" w:cs="Arial"/>
          <w:b/>
          <w:bCs/>
        </w:rPr>
      </w:pPr>
      <w:r w:rsidRPr="003121EC">
        <w:rPr>
          <w:rFonts w:ascii="Arial" w:hAnsi="Arial" w:cs="Arial" w:hint="eastAsia"/>
          <w:b/>
          <w:bCs/>
        </w:rPr>
        <w:t>T</w:t>
      </w:r>
      <w:r w:rsidRPr="003121EC">
        <w:rPr>
          <w:rFonts w:ascii="Arial" w:hAnsi="Arial" w:cs="Arial"/>
          <w:b/>
          <w:bCs/>
        </w:rPr>
        <w:t>itle:</w:t>
      </w:r>
      <w:r w:rsidRPr="003121EC">
        <w:rPr>
          <w:rFonts w:ascii="Arial" w:hAnsi="Arial" w:cs="Arial"/>
          <w:b/>
          <w:bCs/>
        </w:rPr>
        <w:tab/>
      </w:r>
      <w:r w:rsidR="00897282">
        <w:rPr>
          <w:rFonts w:ascii="Arial" w:hAnsi="Arial" w:cs="Arial"/>
          <w:b/>
          <w:bCs/>
        </w:rPr>
        <w:t>Reminding issues</w:t>
      </w:r>
      <w:r w:rsidR="00E93BCB">
        <w:rPr>
          <w:rFonts w:ascii="Arial" w:hAnsi="Arial" w:cs="Arial"/>
          <w:b/>
          <w:bCs/>
        </w:rPr>
        <w:t xml:space="preserve"> o</w:t>
      </w:r>
      <w:r w:rsidR="00E2710D">
        <w:rPr>
          <w:rFonts w:ascii="Arial" w:hAnsi="Arial" w:cs="Arial"/>
          <w:b/>
          <w:bCs/>
        </w:rPr>
        <w:t xml:space="preserve">n </w:t>
      </w:r>
      <w:r w:rsidR="00AB14A2">
        <w:rPr>
          <w:rFonts w:ascii="Arial" w:hAnsi="Arial" w:cs="Arial"/>
          <w:b/>
          <w:bCs/>
        </w:rPr>
        <w:t xml:space="preserve">stage 2 of </w:t>
      </w:r>
      <w:r w:rsidR="00E93BCB">
        <w:rPr>
          <w:rFonts w:ascii="Arial" w:hAnsi="Arial" w:cs="Arial"/>
          <w:b/>
          <w:bCs/>
        </w:rPr>
        <w:t xml:space="preserve">the </w:t>
      </w:r>
      <w:r w:rsidR="00A23A7B">
        <w:rPr>
          <w:rFonts w:ascii="Arial" w:hAnsi="Arial" w:cs="Arial"/>
          <w:b/>
          <w:bCs/>
        </w:rPr>
        <w:t>Cell DTX</w:t>
      </w:r>
      <w:r w:rsidR="00D64A99">
        <w:rPr>
          <w:rFonts w:ascii="Arial" w:hAnsi="Arial" w:cs="Arial"/>
          <w:b/>
          <w:bCs/>
        </w:rPr>
        <w:t>/</w:t>
      </w:r>
      <w:r w:rsidR="00D64A99">
        <w:rPr>
          <w:rFonts w:ascii="Arial" w:hAnsi="Arial" w:cs="Arial" w:hint="eastAsia"/>
          <w:b/>
          <w:bCs/>
        </w:rPr>
        <w:t>DRX</w:t>
      </w:r>
    </w:p>
    <w:p w14:paraId="2BCCBEA2" w14:textId="69D562CF" w:rsidR="003121EC" w:rsidRPr="003121EC" w:rsidRDefault="003121EC">
      <w:pPr>
        <w:rPr>
          <w:rFonts w:ascii="Arial" w:hAnsi="Arial" w:cs="Arial"/>
          <w:b/>
          <w:bCs/>
        </w:rPr>
      </w:pPr>
      <w:r w:rsidRPr="003121EC">
        <w:rPr>
          <w:rFonts w:ascii="Arial" w:hAnsi="Arial" w:cs="Arial" w:hint="eastAsia"/>
          <w:b/>
          <w:bCs/>
        </w:rPr>
        <w:t>D</w:t>
      </w:r>
      <w:r w:rsidRPr="003121EC">
        <w:rPr>
          <w:rFonts w:ascii="Arial" w:hAnsi="Arial" w:cs="Arial"/>
          <w:b/>
          <w:bCs/>
        </w:rPr>
        <w:t>ocument for:</w:t>
      </w:r>
      <w:r w:rsidRPr="003121EC">
        <w:rPr>
          <w:rFonts w:ascii="Arial" w:hAnsi="Arial" w:cs="Arial"/>
          <w:b/>
          <w:bCs/>
        </w:rPr>
        <w:tab/>
        <w:t>Discussion and Decision</w:t>
      </w:r>
    </w:p>
    <w:p w14:paraId="3A3C8ACC" w14:textId="3FA587A8" w:rsidR="003121EC" w:rsidRDefault="003121EC">
      <w:pPr>
        <w:rPr>
          <w:rFonts w:ascii="Arial" w:hAnsi="Arial" w:cs="Arial"/>
        </w:rPr>
      </w:pPr>
    </w:p>
    <w:p w14:paraId="4C51FFD0" w14:textId="58D9C28F" w:rsidR="003121EC" w:rsidRPr="003121EC" w:rsidRDefault="003121EC" w:rsidP="00555338">
      <w:pPr>
        <w:pStyle w:val="a3"/>
        <w:numPr>
          <w:ilvl w:val="0"/>
          <w:numId w:val="2"/>
        </w:numPr>
        <w:pBdr>
          <w:top w:val="single" w:sz="12" w:space="1" w:color="auto"/>
        </w:pBdr>
        <w:ind w:leftChars="0"/>
        <w:outlineLvl w:val="0"/>
        <w:rPr>
          <w:rFonts w:ascii="Arial" w:hAnsi="Arial" w:cs="Arial"/>
          <w:sz w:val="36"/>
          <w:szCs w:val="36"/>
        </w:rPr>
      </w:pPr>
      <w:r w:rsidRPr="003121EC">
        <w:rPr>
          <w:rFonts w:ascii="Arial" w:hAnsi="Arial" w:cs="Arial" w:hint="eastAsia"/>
          <w:sz w:val="36"/>
          <w:szCs w:val="36"/>
        </w:rPr>
        <w:t>I</w:t>
      </w:r>
      <w:r w:rsidRPr="003121EC">
        <w:rPr>
          <w:rFonts w:ascii="Arial" w:hAnsi="Arial" w:cs="Arial"/>
          <w:sz w:val="36"/>
          <w:szCs w:val="36"/>
        </w:rPr>
        <w:t>ntroduction</w:t>
      </w:r>
    </w:p>
    <w:p w14:paraId="5BF8DED7" w14:textId="7AA699B3" w:rsidR="00375BCB" w:rsidRDefault="00D05AD5" w:rsidP="00D05AD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this contribution, we share our views on Cell DTX / DRX configurations and procedures in different </w:t>
      </w:r>
      <w:r w:rsidR="00411B53">
        <w:rPr>
          <w:rFonts w:ascii="Times New Roman" w:hAnsi="Times New Roman" w:cs="Times New Roman"/>
          <w:sz w:val="20"/>
          <w:szCs w:val="20"/>
        </w:rPr>
        <w:t>scenarios</w:t>
      </w:r>
      <w:r>
        <w:rPr>
          <w:rFonts w:ascii="Times New Roman" w:hAnsi="Times New Roman" w:cs="Times New Roman"/>
          <w:sz w:val="20"/>
          <w:szCs w:val="20"/>
        </w:rPr>
        <w:t xml:space="preserve"> based on the RAN2 agreements so far and propose to further discuss remaining issues for preparing the stage 2 specification of Cell DTX / DRX in the Rel-18 NES.</w:t>
      </w:r>
    </w:p>
    <w:p w14:paraId="7759815E" w14:textId="77777777" w:rsidR="00565D6C" w:rsidRPr="00D060DF" w:rsidRDefault="00565D6C" w:rsidP="00D05AD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D427044" w14:textId="59E90D46" w:rsidR="003121EC" w:rsidRPr="003121EC" w:rsidRDefault="003121EC" w:rsidP="00555338">
      <w:pPr>
        <w:pStyle w:val="a3"/>
        <w:numPr>
          <w:ilvl w:val="0"/>
          <w:numId w:val="2"/>
        </w:numPr>
        <w:pBdr>
          <w:top w:val="single" w:sz="12" w:space="1" w:color="auto"/>
        </w:pBdr>
        <w:ind w:leftChars="0"/>
        <w:outlineLvl w:val="0"/>
        <w:rPr>
          <w:rFonts w:ascii="Arial" w:hAnsi="Arial" w:cs="Arial"/>
          <w:sz w:val="36"/>
          <w:szCs w:val="36"/>
        </w:rPr>
      </w:pPr>
      <w:r w:rsidRPr="003121EC">
        <w:rPr>
          <w:rFonts w:ascii="Arial" w:hAnsi="Arial" w:cs="Arial" w:hint="eastAsia"/>
          <w:sz w:val="36"/>
          <w:szCs w:val="36"/>
        </w:rPr>
        <w:t>D</w:t>
      </w:r>
      <w:r w:rsidRPr="003121EC">
        <w:rPr>
          <w:rFonts w:ascii="Arial" w:hAnsi="Arial" w:cs="Arial"/>
          <w:sz w:val="36"/>
          <w:szCs w:val="36"/>
        </w:rPr>
        <w:t>iscussion</w:t>
      </w:r>
    </w:p>
    <w:p w14:paraId="1A634DDC" w14:textId="74094587" w:rsidR="00FA6D74" w:rsidRDefault="00FA6D74" w:rsidP="00FA6D74">
      <w:pPr>
        <w:pStyle w:val="a3"/>
        <w:numPr>
          <w:ilvl w:val="1"/>
          <w:numId w:val="2"/>
        </w:numPr>
        <w:ind w:leftChars="0" w:left="709" w:hanging="709"/>
        <w:outlineLvl w:val="1"/>
        <w:rPr>
          <w:rFonts w:ascii="Arial" w:hAnsi="Arial" w:cs="Arial"/>
          <w:sz w:val="32"/>
          <w:szCs w:val="32"/>
        </w:rPr>
      </w:pPr>
      <w:r>
        <w:rPr>
          <w:rFonts w:ascii="Arial" w:hAnsi="Arial" w:cs="Arial" w:hint="eastAsia"/>
          <w:sz w:val="32"/>
          <w:szCs w:val="32"/>
        </w:rPr>
        <w:t>O</w:t>
      </w:r>
      <w:r>
        <w:rPr>
          <w:rFonts w:ascii="Arial" w:hAnsi="Arial" w:cs="Arial"/>
          <w:sz w:val="32"/>
          <w:szCs w:val="32"/>
        </w:rPr>
        <w:t>verall procedure</w:t>
      </w:r>
      <w:r w:rsidR="00411B53">
        <w:rPr>
          <w:rFonts w:ascii="Arial" w:hAnsi="Arial" w:cs="Arial"/>
          <w:sz w:val="32"/>
          <w:szCs w:val="32"/>
        </w:rPr>
        <w:t xml:space="preserve"> and remaining issues</w:t>
      </w:r>
    </w:p>
    <w:p w14:paraId="4EE8D18F" w14:textId="3ADAC89E" w:rsidR="00895EAA" w:rsidRDefault="00411B53" w:rsidP="00FA6D74">
      <w:pPr>
        <w:jc w:val="both"/>
        <w:rPr>
          <w:rFonts w:ascii="Times New Roman" w:hAnsi="Times New Roman" w:cs="Times New Roman" w:hint="eastAsia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 xml:space="preserve">n the last meeting, RAN2 made few more agreements for Cell DTX/DRX regarding to </w:t>
      </w:r>
      <w:proofErr w:type="spellStart"/>
      <w:r>
        <w:rPr>
          <w:rFonts w:ascii="Times New Roman" w:hAnsi="Times New Roman" w:cs="Times New Roman"/>
          <w:sz w:val="20"/>
          <w:szCs w:val="20"/>
        </w:rPr>
        <w:t>gNB</w:t>
      </w:r>
      <w:proofErr w:type="spellEnd"/>
      <w:r>
        <w:rPr>
          <w:rFonts w:ascii="Times New Roman" w:hAnsi="Times New Roman" w:cs="Times New Roman"/>
          <w:sz w:val="20"/>
          <w:szCs w:val="20"/>
        </w:rPr>
        <w:t>/UE behaviors and configuration aspects. According to the agreements and the procedure discussion since from the study phase, the Figure 1 illustrates our current understandings. As depicted, the UE and the network in the Figure 1 are both Rel-18 NES capable.</w:t>
      </w:r>
      <w:r w:rsidR="00895EA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95EAA">
        <w:rPr>
          <w:rFonts w:ascii="Times New Roman" w:hAnsi="Times New Roman" w:cs="Times New Roman"/>
          <w:sz w:val="20"/>
          <w:szCs w:val="20"/>
        </w:rPr>
        <w:t>Please note that the C-DRX configuration and a certain measurement configuration</w:t>
      </w:r>
      <w:r w:rsidR="000D3F73">
        <w:rPr>
          <w:rFonts w:ascii="Times New Roman" w:hAnsi="Times New Roman" w:cs="Times New Roman"/>
          <w:sz w:val="20"/>
          <w:szCs w:val="20"/>
        </w:rPr>
        <w:t xml:space="preserve"> </w:t>
      </w:r>
      <w:r w:rsidR="00895EAA">
        <w:rPr>
          <w:rFonts w:ascii="Times New Roman" w:hAnsi="Times New Roman" w:cs="Times New Roman"/>
          <w:sz w:val="20"/>
          <w:szCs w:val="20"/>
        </w:rPr>
        <w:t>could be mutually exclusive in practical deployment so the message sequence chart in the figure should be considered as indicative only.</w:t>
      </w:r>
    </w:p>
    <w:p w14:paraId="7EE233A7" w14:textId="42427294" w:rsidR="00FA6D74" w:rsidRDefault="00FA6D74" w:rsidP="00FA6D7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8C1FDAF" w14:textId="31B67AAD" w:rsidR="00895EAA" w:rsidRDefault="00BB7274" w:rsidP="00FA6D7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>irst, we think RAN2 can confirm whether the Cell DTX/DRX techniques is backward compatible to the legacy (non-NES) UEs</w:t>
      </w:r>
      <w:r w:rsidR="00895EAA">
        <w:rPr>
          <w:rFonts w:ascii="Times New Roman" w:hAnsi="Times New Roman" w:cs="Times New Roman"/>
          <w:sz w:val="20"/>
          <w:szCs w:val="20"/>
        </w:rPr>
        <w:t xml:space="preserve"> by current agreements.</w:t>
      </w:r>
    </w:p>
    <w:p w14:paraId="54641491" w14:textId="77777777" w:rsidR="00895EAA" w:rsidRDefault="00895EAA" w:rsidP="00FA6D7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6DD5B3A" w14:textId="6272E844" w:rsidR="00FA6D74" w:rsidRDefault="00895EAA" w:rsidP="00FA6D7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Second,</w:t>
      </w:r>
      <w:r w:rsidR="00BB7274">
        <w:rPr>
          <w:rFonts w:ascii="Times New Roman" w:hAnsi="Times New Roman" w:cs="Times New Roman"/>
          <w:sz w:val="20"/>
          <w:szCs w:val="20"/>
        </w:rPr>
        <w:t xml:space="preserve"> </w:t>
      </w:r>
      <w:r w:rsidR="002903C0">
        <w:rPr>
          <w:rFonts w:ascii="Times New Roman" w:hAnsi="Times New Roman" w:cs="Times New Roman"/>
          <w:sz w:val="20"/>
          <w:szCs w:val="20"/>
        </w:rPr>
        <w:t>RAN2</w:t>
      </w:r>
      <w:r w:rsidR="00BB7274">
        <w:rPr>
          <w:rFonts w:ascii="Times New Roman" w:hAnsi="Times New Roman" w:cs="Times New Roman"/>
          <w:sz w:val="20"/>
          <w:szCs w:val="20"/>
        </w:rPr>
        <w:t xml:space="preserve"> can have further decision if the legacy UEs should be allowed to access a Rel-18 NES cell, and in what </w:t>
      </w:r>
      <w:r w:rsidR="00463680">
        <w:rPr>
          <w:rFonts w:ascii="Times New Roman" w:hAnsi="Times New Roman" w:cs="Times New Roman"/>
          <w:sz w:val="20"/>
          <w:szCs w:val="20"/>
        </w:rPr>
        <w:t xml:space="preserve">accessibility </w:t>
      </w:r>
      <w:r w:rsidR="00BB7274">
        <w:rPr>
          <w:rFonts w:ascii="Times New Roman" w:hAnsi="Times New Roman" w:cs="Times New Roman"/>
          <w:sz w:val="20"/>
          <w:szCs w:val="20"/>
        </w:rPr>
        <w:t>level.</w:t>
      </w:r>
    </w:p>
    <w:p w14:paraId="56828186" w14:textId="3B1F8C14" w:rsidR="00DC7F15" w:rsidRPr="00895EAA" w:rsidRDefault="00DC7F15" w:rsidP="00FA6D7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2107198" w14:textId="721862A2" w:rsidR="00DC7F15" w:rsidRDefault="00895EAA" w:rsidP="00FA6D74">
      <w:pPr>
        <w:jc w:val="both"/>
        <w:rPr>
          <w:rFonts w:ascii="Times New Roman" w:hAnsi="Times New Roman" w:cs="Times New Roman" w:hint="eastAsia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Third, </w:t>
      </w:r>
      <w:r w:rsidR="002903C0">
        <w:rPr>
          <w:rFonts w:ascii="Times New Roman" w:hAnsi="Times New Roman" w:cs="Times New Roman"/>
          <w:sz w:val="20"/>
          <w:szCs w:val="20"/>
        </w:rPr>
        <w:t>to have a clear picture and stage 2 specification, RAN2 needs to discuss which architecture options Cell DTX/DRX can be configured.</w:t>
      </w:r>
    </w:p>
    <w:p w14:paraId="6CF7C4FB" w14:textId="2C8CD6A4" w:rsidR="00411B53" w:rsidRDefault="00411B53" w:rsidP="00FA6D7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21319BC" w14:textId="7ADF2325" w:rsidR="002903C0" w:rsidRDefault="002903C0" w:rsidP="00FA6D7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 xml:space="preserve">inally, whether the Cell DTX/DRX configuration alignment is </w:t>
      </w:r>
      <w:r w:rsidR="003B78A4">
        <w:rPr>
          <w:rFonts w:ascii="Times New Roman" w:hAnsi="Times New Roman" w:cs="Times New Roman"/>
          <w:sz w:val="20"/>
          <w:szCs w:val="20"/>
        </w:rPr>
        <w:t>needed</w:t>
      </w:r>
      <w:r>
        <w:rPr>
          <w:rFonts w:ascii="Times New Roman" w:hAnsi="Times New Roman" w:cs="Times New Roman"/>
          <w:sz w:val="20"/>
          <w:szCs w:val="20"/>
        </w:rPr>
        <w:t xml:space="preserve"> in various architecture options.</w:t>
      </w:r>
    </w:p>
    <w:p w14:paraId="355D1C79" w14:textId="77777777" w:rsidR="00411B53" w:rsidRDefault="00411B53" w:rsidP="00FA6D7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4422822" w14:textId="6666D8A0" w:rsidR="00411B53" w:rsidRPr="00DD4AD9" w:rsidRDefault="00411B53" w:rsidP="00411B53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D4AD9">
        <w:rPr>
          <w:rFonts w:ascii="Times New Roman" w:hAnsi="Times New Roman" w:cs="Times New Roman" w:hint="eastAsia"/>
          <w:b/>
          <w:bCs/>
          <w:sz w:val="20"/>
          <w:szCs w:val="20"/>
        </w:rPr>
        <w:t>F</w:t>
      </w:r>
      <w:r w:rsidRPr="00DD4AD9">
        <w:rPr>
          <w:rFonts w:ascii="Times New Roman" w:hAnsi="Times New Roman" w:cs="Times New Roman"/>
          <w:b/>
          <w:bCs/>
          <w:sz w:val="20"/>
          <w:szCs w:val="20"/>
        </w:rPr>
        <w:t>igure 1: Rel-18 NES Cell DTX/DRX procedure and the agreements</w:t>
      </w:r>
    </w:p>
    <w:p w14:paraId="2C7DFAD8" w14:textId="77777777" w:rsidR="00411B53" w:rsidRDefault="00411B53" w:rsidP="00FA6D7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BA525BF" w14:textId="490A557A" w:rsidR="00411B53" w:rsidRDefault="00411B53" w:rsidP="00411B53">
      <w:pPr>
        <w:jc w:val="center"/>
        <w:rPr>
          <w:rFonts w:ascii="Times New Roman" w:hAnsi="Times New Roman" w:cs="Times New Roman" w:hint="eastAsia"/>
          <w:sz w:val="20"/>
          <w:szCs w:val="20"/>
        </w:rPr>
        <w:sectPr w:rsidR="00411B53">
          <w:pgSz w:w="11906" w:h="16838"/>
          <w:pgMar w:top="1440" w:right="1800" w:bottom="1440" w:left="1800" w:header="851" w:footer="992" w:gutter="0"/>
          <w:cols w:space="425"/>
          <w:docGrid w:type="lines" w:linePitch="360"/>
        </w:sectPr>
      </w:pPr>
    </w:p>
    <w:p w14:paraId="0F8A288D" w14:textId="3E587015" w:rsidR="00FA6D74" w:rsidRDefault="00411B53" w:rsidP="00DC7F15">
      <w:pPr>
        <w:jc w:val="center"/>
        <w:rPr>
          <w:rFonts w:ascii="Times New Roman" w:hAnsi="Times New Roman" w:cs="Times New Roman"/>
          <w:sz w:val="20"/>
          <w:szCs w:val="20"/>
        </w:rPr>
        <w:sectPr w:rsidR="00FA6D74" w:rsidSect="00FA6D74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60"/>
        </w:sectPr>
      </w:pPr>
      <w:r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 wp14:anchorId="6A262697" wp14:editId="5E8DD285">
            <wp:extent cx="7775575" cy="5862584"/>
            <wp:effectExtent l="0" t="0" r="0" b="508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3594" cy="5876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BE32AA" w14:textId="77777777" w:rsidR="00A33E5F" w:rsidRDefault="00A33E5F" w:rsidP="00A33E5F">
      <w:pPr>
        <w:pStyle w:val="a3"/>
        <w:numPr>
          <w:ilvl w:val="1"/>
          <w:numId w:val="2"/>
        </w:numPr>
        <w:ind w:leftChars="0" w:left="709" w:hanging="709"/>
        <w:outlineLvl w:val="1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Backward compatibility</w:t>
      </w:r>
    </w:p>
    <w:p w14:paraId="292B3348" w14:textId="0D8C6FF0" w:rsidR="000353B7" w:rsidRDefault="00A33E5F" w:rsidP="00A33E5F">
      <w:pPr>
        <w:jc w:val="both"/>
        <w:rPr>
          <w:rFonts w:ascii="Times New Roman" w:hAnsi="Times New Roman" w:cs="Times New Roman" w:hint="eastAsia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There is no legacy UE mentioned in the agreements of </w:t>
      </w:r>
      <w:proofErr w:type="spellStart"/>
      <w:r>
        <w:rPr>
          <w:rFonts w:ascii="Times New Roman" w:hAnsi="Times New Roman" w:cs="Times New Roman"/>
          <w:sz w:val="20"/>
          <w:szCs w:val="20"/>
        </w:rPr>
        <w:t>gNB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and UE behavior in Cell DTX/DRX and there is also no agreement for aligning Cell DTX/DRX pattern with the C-DRX pattern (e.g., </w:t>
      </w:r>
      <w:r w:rsidRPr="003D1EEC">
        <w:rPr>
          <w:rFonts w:ascii="Times New Roman" w:hAnsi="Times New Roman" w:cs="Times New Roman"/>
          <w:sz w:val="20"/>
          <w:szCs w:val="20"/>
        </w:rPr>
        <w:t xml:space="preserve">the on-duration of C-DRX falls within Cell DTX </w:t>
      </w:r>
      <w:r>
        <w:rPr>
          <w:rFonts w:ascii="Times New Roman" w:hAnsi="Times New Roman" w:cs="Times New Roman"/>
          <w:sz w:val="20"/>
          <w:szCs w:val="20"/>
        </w:rPr>
        <w:t>active period)</w:t>
      </w:r>
      <w:r w:rsidR="000353B7">
        <w:rPr>
          <w:rFonts w:ascii="Times New Roman" w:hAnsi="Times New Roman" w:cs="Times New Roman"/>
          <w:sz w:val="20"/>
          <w:szCs w:val="20"/>
        </w:rPr>
        <w:t xml:space="preserve"> in last meeting [</w:t>
      </w:r>
      <w:r w:rsidR="004D29C8">
        <w:rPr>
          <w:rFonts w:ascii="Times New Roman" w:hAnsi="Times New Roman" w:cs="Times New Roman"/>
          <w:sz w:val="20"/>
          <w:szCs w:val="20"/>
        </w:rPr>
        <w:t>1</w:t>
      </w:r>
      <w:r w:rsidR="000353B7">
        <w:rPr>
          <w:rFonts w:ascii="Times New Roman" w:hAnsi="Times New Roman" w:cs="Times New Roman"/>
          <w:sz w:val="20"/>
          <w:szCs w:val="20"/>
        </w:rPr>
        <w:t>]</w:t>
      </w:r>
      <w:r>
        <w:rPr>
          <w:rFonts w:ascii="Times New Roman" w:hAnsi="Times New Roman" w:cs="Times New Roman"/>
          <w:sz w:val="20"/>
          <w:szCs w:val="20"/>
        </w:rPr>
        <w:t>.</w:t>
      </w:r>
      <w:r w:rsidR="000353B7">
        <w:rPr>
          <w:rFonts w:ascii="Times New Roman" w:hAnsi="Times New Roman" w:cs="Times New Roman"/>
          <w:sz w:val="20"/>
          <w:szCs w:val="20"/>
        </w:rPr>
        <w:t xml:space="preserve"> The alignment of C-DRX pattern and Cell DTX/DRX pattern is no longer essential if RAN2 clarifies and agrees the </w:t>
      </w:r>
      <w:proofErr w:type="spellStart"/>
      <w:r w:rsidR="000353B7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0353B7">
        <w:rPr>
          <w:rFonts w:ascii="Times New Roman" w:hAnsi="Times New Roman" w:cs="Times New Roman"/>
          <w:sz w:val="20"/>
          <w:szCs w:val="20"/>
        </w:rPr>
        <w:t xml:space="preserve"> and the UE behaviors for </w:t>
      </w:r>
      <w:r w:rsidR="00063E7D">
        <w:rPr>
          <w:rFonts w:ascii="Times New Roman" w:hAnsi="Times New Roman" w:cs="Times New Roman"/>
          <w:sz w:val="20"/>
          <w:szCs w:val="20"/>
        </w:rPr>
        <w:t>all</w:t>
      </w:r>
      <w:r w:rsidR="000353B7">
        <w:rPr>
          <w:rFonts w:ascii="Times New Roman" w:hAnsi="Times New Roman" w:cs="Times New Roman"/>
          <w:sz w:val="20"/>
          <w:szCs w:val="20"/>
        </w:rPr>
        <w:t xml:space="preserve"> overlapping </w:t>
      </w:r>
      <w:r w:rsidR="00063E7D">
        <w:rPr>
          <w:rFonts w:ascii="Times New Roman" w:hAnsi="Times New Roman" w:cs="Times New Roman"/>
          <w:sz w:val="20"/>
          <w:szCs w:val="20"/>
        </w:rPr>
        <w:t>scenarios</w:t>
      </w:r>
      <w:r w:rsidR="000353B7">
        <w:rPr>
          <w:rFonts w:ascii="Times New Roman" w:hAnsi="Times New Roman" w:cs="Times New Roman"/>
          <w:sz w:val="20"/>
          <w:szCs w:val="20"/>
        </w:rPr>
        <w:t>.</w:t>
      </w:r>
    </w:p>
    <w:p w14:paraId="5BDFD793" w14:textId="64ECD7CC" w:rsidR="000353B7" w:rsidRDefault="000353B7" w:rsidP="00A33E5F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D1F951B" w14:textId="5F328E5F" w:rsidR="000353B7" w:rsidRDefault="000353B7" w:rsidP="00A33E5F">
      <w:pPr>
        <w:jc w:val="both"/>
        <w:rPr>
          <w:rFonts w:ascii="Times New Roman" w:hAnsi="Times New Roman" w:cs="Times New Roman" w:hint="eastAsia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n other words, the non-NES UEs will suffer from connection failure</w:t>
      </w:r>
      <w:r w:rsidR="00063E7D">
        <w:rPr>
          <w:rFonts w:ascii="Times New Roman" w:hAnsi="Times New Roman" w:cs="Times New Roman"/>
          <w:sz w:val="20"/>
          <w:szCs w:val="20"/>
        </w:rPr>
        <w:t xml:space="preserve"> and/or unnecessary power consumption</w:t>
      </w:r>
      <w:r>
        <w:rPr>
          <w:rFonts w:ascii="Times New Roman" w:hAnsi="Times New Roman" w:cs="Times New Roman"/>
          <w:sz w:val="20"/>
          <w:szCs w:val="20"/>
        </w:rPr>
        <w:t xml:space="preserve"> once the Cell DTX/DRX is activated by the serving cell during RRC_CONNECTED.</w:t>
      </w:r>
    </w:p>
    <w:p w14:paraId="2EC2E897" w14:textId="77777777" w:rsidR="00A33E5F" w:rsidRDefault="00A33E5F" w:rsidP="00A33E5F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0661A34E" w14:textId="1325C4E5" w:rsidR="00A33E5F" w:rsidRPr="00AE0D75" w:rsidRDefault="00063E7D" w:rsidP="00A33E5F">
      <w:pPr>
        <w:pStyle w:val="a3"/>
        <w:numPr>
          <w:ilvl w:val="0"/>
          <w:numId w:val="6"/>
        </w:numPr>
        <w:ind w:leftChars="0" w:left="1418" w:hanging="1418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Ref134799141"/>
      <w:r>
        <w:rPr>
          <w:rFonts w:ascii="Times New Roman" w:hAnsi="Times New Roman" w:cs="Times New Roman"/>
          <w:b/>
          <w:bCs/>
          <w:sz w:val="20"/>
          <w:szCs w:val="20"/>
        </w:rPr>
        <w:t>Once the network activates Cell DTX/DRX the non-NES UEs will suffer from connection failures and/or unnecessary power consumption</w:t>
      </w:r>
      <w:r w:rsidR="00A33E5F">
        <w:rPr>
          <w:rFonts w:ascii="Times New Roman" w:hAnsi="Times New Roman" w:cs="Times New Roman"/>
          <w:b/>
          <w:bCs/>
          <w:sz w:val="20"/>
          <w:szCs w:val="20"/>
        </w:rPr>
        <w:t>.</w:t>
      </w:r>
      <w:bookmarkEnd w:id="0"/>
    </w:p>
    <w:p w14:paraId="6AC28E85" w14:textId="37B21275" w:rsidR="00A33E5F" w:rsidRPr="00063E7D" w:rsidRDefault="00A33E5F" w:rsidP="00A33E5F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4B25FF5" w14:textId="0BB469E8" w:rsidR="000353B7" w:rsidRDefault="000353B7" w:rsidP="000353B7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Therefore, Cell DTX/DRX is obvious</w:t>
      </w:r>
      <w:r w:rsidR="00B95DCA">
        <w:rPr>
          <w:rFonts w:ascii="Times New Roman" w:hAnsi="Times New Roman" w:cs="Times New Roman"/>
          <w:sz w:val="20"/>
          <w:szCs w:val="20"/>
        </w:rPr>
        <w:t>ly</w:t>
      </w:r>
      <w:r>
        <w:rPr>
          <w:rFonts w:ascii="Times New Roman" w:hAnsi="Times New Roman" w:cs="Times New Roman"/>
          <w:sz w:val="20"/>
          <w:szCs w:val="20"/>
        </w:rPr>
        <w:t xml:space="preserve"> a non-backward compatible NES technique</w:t>
      </w:r>
      <w:r w:rsidR="00063E7D">
        <w:rPr>
          <w:rFonts w:ascii="Times New Roman" w:hAnsi="Times New Roman" w:cs="Times New Roman"/>
          <w:sz w:val="20"/>
          <w:szCs w:val="20"/>
        </w:rPr>
        <w:t xml:space="preserve"> to the non-NES UEs.</w:t>
      </w:r>
    </w:p>
    <w:p w14:paraId="03779759" w14:textId="77777777" w:rsidR="000353B7" w:rsidRPr="00063E7D" w:rsidRDefault="000353B7" w:rsidP="00A33E5F">
      <w:pPr>
        <w:jc w:val="both"/>
        <w:rPr>
          <w:rFonts w:ascii="Times New Roman" w:hAnsi="Times New Roman" w:cs="Times New Roman" w:hint="eastAsia"/>
          <w:sz w:val="20"/>
          <w:szCs w:val="20"/>
        </w:rPr>
      </w:pPr>
    </w:p>
    <w:p w14:paraId="2BDA6A65" w14:textId="495F8DD1" w:rsidR="00A33E5F" w:rsidRPr="002F6D63" w:rsidRDefault="00063E7D" w:rsidP="00A33E5F">
      <w:pPr>
        <w:pStyle w:val="a3"/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ind w:leftChars="0" w:left="1134" w:hanging="1134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bookmarkStart w:id="1" w:name="_Ref134799188"/>
      <w:r>
        <w:rPr>
          <w:rFonts w:ascii="Times New Roman" w:eastAsia="新細明體" w:hAnsi="Times New Roman" w:cs="Times New Roman"/>
          <w:b/>
          <w:bCs/>
          <w:sz w:val="20"/>
          <w:szCs w:val="20"/>
        </w:rPr>
        <w:t>Cell DTX/DRX is non-backward compatible to the non-NES UEs</w:t>
      </w:r>
      <w:r w:rsidR="00A33E5F">
        <w:rPr>
          <w:rFonts w:ascii="Times New Roman" w:eastAsia="新細明體" w:hAnsi="Times New Roman" w:cs="Times New Roman"/>
          <w:b/>
          <w:bCs/>
          <w:sz w:val="20"/>
          <w:szCs w:val="20"/>
        </w:rPr>
        <w:t>.</w:t>
      </w:r>
      <w:bookmarkEnd w:id="1"/>
    </w:p>
    <w:p w14:paraId="5E033524" w14:textId="77777777" w:rsidR="00A33E5F" w:rsidRDefault="00A33E5F" w:rsidP="00A33E5F">
      <w:pPr>
        <w:rPr>
          <w:rFonts w:ascii="Times New Roman" w:hAnsi="Times New Roman" w:cs="Times New Roman"/>
          <w:sz w:val="20"/>
          <w:szCs w:val="20"/>
        </w:rPr>
      </w:pPr>
    </w:p>
    <w:p w14:paraId="3C1A8B75" w14:textId="1B701F80" w:rsidR="00A33E5F" w:rsidRPr="0056185A" w:rsidRDefault="00D311CB" w:rsidP="00A33E5F">
      <w:pPr>
        <w:pStyle w:val="a3"/>
        <w:numPr>
          <w:ilvl w:val="1"/>
          <w:numId w:val="2"/>
        </w:numPr>
        <w:ind w:leftChars="0" w:left="709" w:hanging="709"/>
        <w:outlineLvl w:val="1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Non-NES</w:t>
      </w:r>
      <w:r w:rsidR="00A33E5F" w:rsidRPr="0056185A">
        <w:rPr>
          <w:rFonts w:ascii="Arial" w:hAnsi="Arial" w:cs="Arial"/>
          <w:sz w:val="32"/>
          <w:szCs w:val="32"/>
        </w:rPr>
        <w:t xml:space="preserve"> UE accessibility</w:t>
      </w:r>
    </w:p>
    <w:p w14:paraId="27291930" w14:textId="794BDEBE" w:rsidR="00D311CB" w:rsidRDefault="00D311CB" w:rsidP="00D311C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n our understanding the terminology “non-NES UE” includes the legacy UEs and the Rel-18 UEs without NES feature support.</w:t>
      </w:r>
    </w:p>
    <w:p w14:paraId="46F976F1" w14:textId="77777777" w:rsidR="00D311CB" w:rsidRDefault="00D311CB" w:rsidP="00D311CB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164D820" w14:textId="51A57BF2" w:rsidR="00A33E5F" w:rsidRDefault="00D311CB" w:rsidP="00D311C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Since RAN2 had agreed that RRC_IDLE/RRC_INACTIVE UEs shall not be impacted by Cell DTX/DRX so it </w:t>
      </w:r>
      <w:r w:rsidR="00E9674B">
        <w:rPr>
          <w:rFonts w:ascii="Times New Roman" w:hAnsi="Times New Roman" w:cs="Times New Roman"/>
          <w:sz w:val="20"/>
          <w:szCs w:val="20"/>
        </w:rPr>
        <w:t>seems to be</w:t>
      </w:r>
      <w:r>
        <w:rPr>
          <w:rFonts w:ascii="Times New Roman" w:hAnsi="Times New Roman" w:cs="Times New Roman"/>
          <w:sz w:val="20"/>
          <w:szCs w:val="20"/>
        </w:rPr>
        <w:t xml:space="preserve"> technically feasible to allow </w:t>
      </w:r>
      <w:r w:rsidR="00E9674B">
        <w:rPr>
          <w:rFonts w:ascii="Times New Roman" w:hAnsi="Times New Roman" w:cs="Times New Roman"/>
          <w:sz w:val="20"/>
          <w:szCs w:val="20"/>
        </w:rPr>
        <w:t xml:space="preserve">at least </w:t>
      </w:r>
      <w:r>
        <w:rPr>
          <w:rFonts w:ascii="Times New Roman" w:hAnsi="Times New Roman" w:cs="Times New Roman"/>
          <w:sz w:val="20"/>
          <w:szCs w:val="20"/>
        </w:rPr>
        <w:t>cell reselection</w:t>
      </w:r>
      <w:r w:rsidR="00E9674B">
        <w:rPr>
          <w:rFonts w:ascii="Times New Roman" w:hAnsi="Times New Roman" w:cs="Times New Roman"/>
          <w:sz w:val="20"/>
          <w:szCs w:val="20"/>
        </w:rPr>
        <w:t xml:space="preserve"> (or say IDLE/INACTIVE camping could be invisible to </w:t>
      </w:r>
      <w:proofErr w:type="spellStart"/>
      <w:r w:rsidR="00E9674B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E9674B">
        <w:rPr>
          <w:rFonts w:ascii="Times New Roman" w:hAnsi="Times New Roman" w:cs="Times New Roman"/>
          <w:sz w:val="20"/>
          <w:szCs w:val="20"/>
        </w:rPr>
        <w:t>) for the non-NES UEs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9674B">
        <w:rPr>
          <w:rFonts w:ascii="Times New Roman" w:hAnsi="Times New Roman" w:cs="Times New Roman"/>
          <w:sz w:val="20"/>
          <w:szCs w:val="20"/>
        </w:rPr>
        <w:t>in terms of service coverage. However, it is not true coverage. Due to the non-backward compatible behavior, it is pointless for the non-NES UEs to initiate data session in a NES cell where Cell DTX/DRX is configured.</w:t>
      </w:r>
    </w:p>
    <w:p w14:paraId="74C42E8B" w14:textId="4661C803" w:rsidR="00A33E5F" w:rsidRDefault="00A33E5F" w:rsidP="00D311CB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C809CE0" w14:textId="46760463" w:rsidR="00E9674B" w:rsidRPr="00AE0D75" w:rsidRDefault="00E9674B" w:rsidP="00E9674B">
      <w:pPr>
        <w:pStyle w:val="a3"/>
        <w:numPr>
          <w:ilvl w:val="0"/>
          <w:numId w:val="6"/>
        </w:numPr>
        <w:ind w:leftChars="0" w:left="1418" w:hanging="1418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2" w:name="_Ref134799240"/>
      <w:r>
        <w:rPr>
          <w:rFonts w:ascii="Times New Roman" w:hAnsi="Times New Roman" w:cs="Times New Roman"/>
          <w:b/>
          <w:bCs/>
          <w:sz w:val="20"/>
          <w:szCs w:val="20"/>
        </w:rPr>
        <w:t>There is no benefit to allow cell reselection for RRC_IDLE/RRC_INACTIVE non-NES UEs in terms of service continuity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  <w:bookmarkEnd w:id="2"/>
    </w:p>
    <w:p w14:paraId="2865F37E" w14:textId="77777777" w:rsidR="00E9674B" w:rsidRDefault="00E9674B" w:rsidP="00D311CB">
      <w:pPr>
        <w:jc w:val="both"/>
        <w:rPr>
          <w:rFonts w:ascii="Times New Roman" w:hAnsi="Times New Roman" w:cs="Times New Roman" w:hint="eastAsia"/>
          <w:sz w:val="20"/>
          <w:szCs w:val="20"/>
        </w:rPr>
      </w:pPr>
    </w:p>
    <w:p w14:paraId="6F11E849" w14:textId="59344CDB" w:rsidR="00E9674B" w:rsidRDefault="00E9674B" w:rsidP="00D311C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 xml:space="preserve">urthermore, the enhancement of connection establishment and/or access control is not in the scope of WID. RAN2 would need to discuss and check whether any spec. impact in these parts such as Redirection/Reject and access barring check if the non-NES UEs </w:t>
      </w:r>
      <w:proofErr w:type="gramStart"/>
      <w:r>
        <w:rPr>
          <w:rFonts w:ascii="Times New Roman" w:hAnsi="Times New Roman" w:cs="Times New Roman"/>
          <w:sz w:val="20"/>
          <w:szCs w:val="20"/>
        </w:rPr>
        <w:t>are allowed to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gain normal service in the NES cell. To simplify the Rel-18 NES feature we think it is reasonable to prohibit the non-NES UEs to access the NES cells in the first place.</w:t>
      </w:r>
    </w:p>
    <w:p w14:paraId="46755735" w14:textId="1E9F6A71" w:rsidR="00E9674B" w:rsidRDefault="00E9674B" w:rsidP="00D311CB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A069957" w14:textId="41EC81B0" w:rsidR="00E9674B" w:rsidRPr="002F6D63" w:rsidRDefault="00E9674B" w:rsidP="00E9674B">
      <w:pPr>
        <w:pStyle w:val="a3"/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ind w:leftChars="0" w:left="1134" w:hanging="1134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bookmarkStart w:id="3" w:name="_Ref134799275"/>
      <w:r>
        <w:rPr>
          <w:rFonts w:ascii="Times New Roman" w:eastAsia="新細明體" w:hAnsi="Times New Roman" w:cs="Times New Roman"/>
          <w:b/>
          <w:bCs/>
          <w:sz w:val="20"/>
          <w:szCs w:val="20"/>
        </w:rPr>
        <w:lastRenderedPageBreak/>
        <w:t xml:space="preserve">Non-NES UEs are not allowed to access the NES cells by cell barring mechanism. The enhancement details </w:t>
      </w:r>
      <w:r w:rsidR="00F80E8A">
        <w:rPr>
          <w:rFonts w:ascii="Times New Roman" w:eastAsia="新細明體" w:hAnsi="Times New Roman" w:cs="Times New Roman"/>
          <w:b/>
          <w:bCs/>
          <w:sz w:val="20"/>
          <w:szCs w:val="20"/>
        </w:rPr>
        <w:t>are</w:t>
      </w:r>
      <w:r>
        <w:rPr>
          <w:rFonts w:ascii="Times New Roman" w:eastAsia="新細明體" w:hAnsi="Times New Roman" w:cs="Times New Roman"/>
          <w:b/>
          <w:bCs/>
          <w:sz w:val="20"/>
          <w:szCs w:val="20"/>
        </w:rPr>
        <w:t xml:space="preserve"> discussed in Cell selection/re-selection AI.</w:t>
      </w:r>
      <w:bookmarkEnd w:id="3"/>
    </w:p>
    <w:p w14:paraId="5ED0A838" w14:textId="77777777" w:rsidR="00E9674B" w:rsidRPr="00E9674B" w:rsidRDefault="00E9674B" w:rsidP="00D311CB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2AD3EAE" w14:textId="3A489BA2" w:rsidR="00DF3AAF" w:rsidRDefault="00322ECB" w:rsidP="00DF3AAF">
      <w:pPr>
        <w:pStyle w:val="a3"/>
        <w:numPr>
          <w:ilvl w:val="1"/>
          <w:numId w:val="2"/>
        </w:numPr>
        <w:ind w:leftChars="0" w:left="709" w:hanging="709"/>
        <w:outlineLvl w:val="1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5G a</w:t>
      </w:r>
      <w:r w:rsidR="00FA6D74">
        <w:rPr>
          <w:rFonts w:ascii="Arial" w:hAnsi="Arial" w:cs="Arial"/>
          <w:sz w:val="32"/>
          <w:szCs w:val="32"/>
        </w:rPr>
        <w:t>rchitecture options</w:t>
      </w:r>
    </w:p>
    <w:p w14:paraId="4CD84DF0" w14:textId="2B0809ED" w:rsidR="008A3477" w:rsidRPr="008A3477" w:rsidRDefault="008A3477" w:rsidP="00AF68AE">
      <w:pPr>
        <w:jc w:val="both"/>
        <w:rPr>
          <w:rFonts w:ascii="Times New Roman" w:hAnsi="Times New Roman" w:cs="Times New Roman" w:hint="eastAsia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study phase, RAN2 had discussed and agreed that Cell DTX/DRX can be applicable for different cells in CA and no additional RAN2 impacts, or enhancements are foreseen [</w:t>
      </w:r>
      <w:r w:rsidR="00BE0D30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].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However</w:t>
      </w:r>
      <w:r w:rsidR="00001AB8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it is not discussed and agreed yet in normative phase, and so does the supported architecture options are supported with Cell DTX/DRX.</w:t>
      </w:r>
    </w:p>
    <w:p w14:paraId="63803EAF" w14:textId="44AF5AF8" w:rsidR="008A3477" w:rsidRDefault="008A3477" w:rsidP="00AF68AE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641C080" w14:textId="7F0DBB64" w:rsidR="008A3477" w:rsidRDefault="008A3477" w:rsidP="00AF68A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ow we know the p</w:t>
      </w:r>
      <w:r w:rsidRPr="008A3477">
        <w:rPr>
          <w:rFonts w:ascii="Times New Roman" w:hAnsi="Times New Roman" w:cs="Times New Roman"/>
          <w:sz w:val="20"/>
          <w:szCs w:val="20"/>
        </w:rPr>
        <w:t xml:space="preserve">attern configuration for cell DRX/DTX is common in the </w:t>
      </w:r>
      <w:r>
        <w:rPr>
          <w:rFonts w:ascii="Times New Roman" w:hAnsi="Times New Roman" w:cs="Times New Roman"/>
          <w:sz w:val="20"/>
          <w:szCs w:val="20"/>
        </w:rPr>
        <w:t xml:space="preserve">serving </w:t>
      </w:r>
      <w:r w:rsidRPr="008A3477">
        <w:rPr>
          <w:rFonts w:ascii="Times New Roman" w:hAnsi="Times New Roman" w:cs="Times New Roman"/>
          <w:sz w:val="20"/>
          <w:szCs w:val="20"/>
        </w:rPr>
        <w:t>cell</w:t>
      </w:r>
      <w:r>
        <w:rPr>
          <w:rFonts w:ascii="Times New Roman" w:hAnsi="Times New Roman" w:cs="Times New Roman"/>
          <w:sz w:val="20"/>
          <w:szCs w:val="20"/>
        </w:rPr>
        <w:t xml:space="preserve"> and it is separate for Cell DTX and Cell DRX. So, it could be any architecture option is supported with Cell DTX/DRX in the NR cells to have most energy saving opportunities:</w:t>
      </w:r>
    </w:p>
    <w:p w14:paraId="2A25C0E7" w14:textId="28F9ED3A" w:rsidR="008A3477" w:rsidRDefault="008A3477" w:rsidP="008A3477">
      <w:pPr>
        <w:pStyle w:val="a3"/>
        <w:numPr>
          <w:ilvl w:val="0"/>
          <w:numId w:val="23"/>
        </w:numPr>
        <w:ind w:left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(NG)</w:t>
      </w:r>
      <w:r>
        <w:rPr>
          <w:rFonts w:ascii="Times New Roman" w:hAnsi="Times New Roman" w:cs="Times New Roman" w:hint="eastAsia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N-DC</w:t>
      </w:r>
    </w:p>
    <w:p w14:paraId="1D49B118" w14:textId="33A832A6" w:rsidR="008A3477" w:rsidRDefault="008A3477" w:rsidP="008A3477">
      <w:pPr>
        <w:pStyle w:val="a3"/>
        <w:numPr>
          <w:ilvl w:val="0"/>
          <w:numId w:val="23"/>
        </w:numPr>
        <w:ind w:left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>E-DC</w:t>
      </w:r>
    </w:p>
    <w:p w14:paraId="56ABD874" w14:textId="5B6E7395" w:rsidR="008A3477" w:rsidRDefault="008A3477" w:rsidP="008A3477">
      <w:pPr>
        <w:pStyle w:val="a3"/>
        <w:numPr>
          <w:ilvl w:val="0"/>
          <w:numId w:val="23"/>
        </w:numPr>
        <w:ind w:left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NR SA (NR CA is included)</w:t>
      </w:r>
    </w:p>
    <w:p w14:paraId="3754F797" w14:textId="59740453" w:rsidR="008A3477" w:rsidRPr="008A3477" w:rsidRDefault="008A3477" w:rsidP="008A3477">
      <w:pPr>
        <w:pStyle w:val="a3"/>
        <w:numPr>
          <w:ilvl w:val="0"/>
          <w:numId w:val="23"/>
        </w:numPr>
        <w:ind w:leftChars="0"/>
        <w:jc w:val="both"/>
        <w:rPr>
          <w:rFonts w:ascii="Times New Roman" w:hAnsi="Times New Roman" w:cs="Times New Roman" w:hint="eastAsia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NR-DC</w:t>
      </w:r>
    </w:p>
    <w:p w14:paraId="6DA9AEBD" w14:textId="77777777" w:rsidR="00CD1B5C" w:rsidRDefault="00CD1B5C" w:rsidP="00CD1B5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7F3F65C" w14:textId="6092660F" w:rsidR="00CD1B5C" w:rsidRPr="00AE0D75" w:rsidRDefault="008A3477" w:rsidP="00CD1B5C">
      <w:pPr>
        <w:pStyle w:val="a3"/>
        <w:numPr>
          <w:ilvl w:val="0"/>
          <w:numId w:val="6"/>
        </w:numPr>
        <w:ind w:leftChars="0" w:left="1418" w:hanging="1418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4" w:name="_Ref134799315"/>
      <w:r>
        <w:rPr>
          <w:rFonts w:ascii="Times New Roman" w:hAnsi="Times New Roman" w:cs="Times New Roman"/>
          <w:b/>
          <w:bCs/>
          <w:sz w:val="20"/>
          <w:szCs w:val="20"/>
        </w:rPr>
        <w:t xml:space="preserve">Cell DTX/DRX </w:t>
      </w:r>
      <w:r w:rsidR="00322ECB">
        <w:rPr>
          <w:rFonts w:ascii="Times New Roman" w:hAnsi="Times New Roman" w:cs="Times New Roman"/>
          <w:b/>
          <w:bCs/>
          <w:sz w:val="20"/>
          <w:szCs w:val="20"/>
        </w:rPr>
        <w:t xml:space="preserve">configuration </w:t>
      </w:r>
      <w:r>
        <w:rPr>
          <w:rFonts w:ascii="Times New Roman" w:hAnsi="Times New Roman" w:cs="Times New Roman"/>
          <w:b/>
          <w:bCs/>
          <w:sz w:val="20"/>
          <w:szCs w:val="20"/>
        </w:rPr>
        <w:t>is cell-wise and can be adopted in different architecture options</w:t>
      </w:r>
      <w:r w:rsidR="00CD1B5C">
        <w:rPr>
          <w:rFonts w:ascii="Times New Roman" w:hAnsi="Times New Roman" w:cs="Times New Roman"/>
          <w:b/>
          <w:bCs/>
          <w:sz w:val="20"/>
          <w:szCs w:val="20"/>
        </w:rPr>
        <w:t>.</w:t>
      </w:r>
      <w:bookmarkEnd w:id="4"/>
    </w:p>
    <w:p w14:paraId="189E635D" w14:textId="77777777" w:rsidR="00990EDC" w:rsidRDefault="00990EDC" w:rsidP="00CD1B5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02D0EA5" w14:textId="5DAD3EC2" w:rsidR="008A3477" w:rsidRPr="0064741D" w:rsidRDefault="008A3477" w:rsidP="008A3477">
      <w:pPr>
        <w:pStyle w:val="a3"/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ind w:leftChars="0" w:left="1134" w:hanging="1134"/>
        <w:contextualSpacing/>
        <w:jc w:val="both"/>
        <w:rPr>
          <w:rFonts w:ascii="Times New Roman" w:eastAsia="新細明體" w:hAnsi="Times New Roman" w:cs="Times New Roman"/>
          <w:b/>
          <w:bCs/>
          <w:sz w:val="20"/>
          <w:szCs w:val="20"/>
        </w:rPr>
      </w:pPr>
      <w:bookmarkStart w:id="5" w:name="_Ref134799346"/>
      <w:r>
        <w:rPr>
          <w:rFonts w:ascii="Times New Roman" w:hAnsi="Times New Roman" w:cs="Times New Roman"/>
          <w:b/>
          <w:bCs/>
          <w:sz w:val="20"/>
          <w:szCs w:val="20"/>
        </w:rPr>
        <w:t xml:space="preserve">Cell DTX/DRX is applicable for all architecture options including MR-DC, 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</w:rPr>
        <w:t>SA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and NR-DC</w:t>
      </w:r>
      <w:r>
        <w:rPr>
          <w:rFonts w:ascii="Times New Roman" w:eastAsia="新細明體" w:hAnsi="Times New Roman" w:cs="Times New Roman"/>
          <w:b/>
          <w:bCs/>
          <w:sz w:val="20"/>
          <w:szCs w:val="20"/>
        </w:rPr>
        <w:t>.</w:t>
      </w:r>
      <w:r w:rsidR="00BD481E">
        <w:rPr>
          <w:rFonts w:ascii="Times New Roman" w:eastAsia="新細明體" w:hAnsi="Times New Roman" w:cs="Times New Roman"/>
          <w:b/>
          <w:bCs/>
          <w:sz w:val="20"/>
          <w:szCs w:val="20"/>
        </w:rPr>
        <w:t xml:space="preserve"> FFS on procedure and signaling details in stage 3.</w:t>
      </w:r>
      <w:bookmarkEnd w:id="5"/>
    </w:p>
    <w:p w14:paraId="0960DA93" w14:textId="63ADFE09" w:rsidR="0056185A" w:rsidRDefault="0056185A" w:rsidP="00CD1B5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4F787CC" w14:textId="29F7447A" w:rsidR="0056185A" w:rsidRPr="0056185A" w:rsidRDefault="0056185A" w:rsidP="0056185A">
      <w:pPr>
        <w:pStyle w:val="a3"/>
        <w:numPr>
          <w:ilvl w:val="1"/>
          <w:numId w:val="2"/>
        </w:numPr>
        <w:ind w:leftChars="0" w:left="709" w:hanging="709"/>
        <w:outlineLvl w:val="1"/>
        <w:rPr>
          <w:rFonts w:ascii="Arial" w:hAnsi="Arial" w:cs="Arial" w:hint="eastAsia"/>
          <w:sz w:val="32"/>
          <w:szCs w:val="32"/>
        </w:rPr>
      </w:pPr>
      <w:r w:rsidRPr="0056185A">
        <w:rPr>
          <w:rFonts w:ascii="Arial" w:hAnsi="Arial" w:cs="Arial"/>
          <w:sz w:val="32"/>
          <w:szCs w:val="32"/>
        </w:rPr>
        <w:t>Configuration alignment</w:t>
      </w:r>
      <w:r w:rsidR="002B4D3F">
        <w:rPr>
          <w:rFonts w:ascii="Arial" w:hAnsi="Arial" w:cs="Arial"/>
          <w:sz w:val="32"/>
          <w:szCs w:val="32"/>
        </w:rPr>
        <w:t xml:space="preserve"> in NR CA</w:t>
      </w:r>
    </w:p>
    <w:p w14:paraId="00A5F19B" w14:textId="789211A8" w:rsidR="00F3429A" w:rsidRDefault="00A33D30" w:rsidP="00CD1B5C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>uring SI phase, BS energy saving gain is evaluated in single cell simulation as baseline. Also, the study for higher layer procedures focus</w:t>
      </w:r>
      <w:r w:rsidR="00065751">
        <w:rPr>
          <w:rFonts w:ascii="Times New Roman" w:hAnsi="Times New Roman" w:cs="Times New Roman"/>
          <w:sz w:val="20"/>
          <w:szCs w:val="20"/>
        </w:rPr>
        <w:t xml:space="preserve">es </w:t>
      </w:r>
      <w:r>
        <w:rPr>
          <w:rFonts w:ascii="Times New Roman" w:hAnsi="Times New Roman" w:cs="Times New Roman"/>
          <w:sz w:val="20"/>
          <w:szCs w:val="20"/>
        </w:rPr>
        <w:t xml:space="preserve">on </w:t>
      </w:r>
      <w:r w:rsidRPr="00A33D30">
        <w:rPr>
          <w:rFonts w:ascii="Times New Roman" w:hAnsi="Times New Roman" w:cs="Times New Roman"/>
          <w:sz w:val="20"/>
          <w:szCs w:val="20"/>
        </w:rPr>
        <w:t>UE behavior when at any point in time the cell activates a single DTX/DRX configuration</w:t>
      </w:r>
      <w:r w:rsidRPr="00A33D30">
        <w:rPr>
          <w:rFonts w:ascii="Times New Roman" w:hAnsi="Times New Roman" w:cs="Times New Roman"/>
          <w:sz w:val="20"/>
          <w:szCs w:val="20"/>
        </w:rPr>
        <w:t xml:space="preserve"> [</w:t>
      </w:r>
      <w:r w:rsidR="008E4B11">
        <w:rPr>
          <w:rFonts w:ascii="Times New Roman" w:hAnsi="Times New Roman" w:cs="Times New Roman"/>
          <w:sz w:val="20"/>
          <w:szCs w:val="20"/>
        </w:rPr>
        <w:t>3</w:t>
      </w:r>
      <w:r w:rsidRPr="00A33D30">
        <w:rPr>
          <w:rFonts w:ascii="Times New Roman" w:hAnsi="Times New Roman" w:cs="Times New Roman"/>
          <w:sz w:val="20"/>
          <w:szCs w:val="20"/>
        </w:rPr>
        <w:t>]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="00065751">
        <w:rPr>
          <w:rFonts w:ascii="Times New Roman" w:hAnsi="Times New Roman" w:cs="Times New Roman"/>
          <w:sz w:val="20"/>
          <w:szCs w:val="20"/>
        </w:rPr>
        <w:t>So</w:t>
      </w:r>
      <w:r w:rsidR="004B5993">
        <w:rPr>
          <w:rFonts w:ascii="Times New Roman" w:hAnsi="Times New Roman" w:cs="Times New Roman"/>
          <w:sz w:val="20"/>
          <w:szCs w:val="20"/>
        </w:rPr>
        <w:t>,</w:t>
      </w:r>
      <w:r w:rsidR="00065751">
        <w:rPr>
          <w:rFonts w:ascii="Times New Roman" w:hAnsi="Times New Roman" w:cs="Times New Roman"/>
          <w:sz w:val="20"/>
          <w:szCs w:val="20"/>
        </w:rPr>
        <w:t xml:space="preserve"> </w:t>
      </w:r>
      <w:r w:rsidR="004B5993">
        <w:rPr>
          <w:rFonts w:ascii="Times New Roman" w:hAnsi="Times New Roman" w:cs="Times New Roman"/>
          <w:sz w:val="20"/>
          <w:szCs w:val="20"/>
        </w:rPr>
        <w:t xml:space="preserve">how </w:t>
      </w:r>
      <w:r w:rsidR="00065751">
        <w:rPr>
          <w:rFonts w:ascii="Times New Roman" w:hAnsi="Times New Roman" w:cs="Times New Roman"/>
          <w:sz w:val="20"/>
          <w:szCs w:val="20"/>
        </w:rPr>
        <w:t xml:space="preserve">the DTX/DRX </w:t>
      </w:r>
      <w:r w:rsidR="004B5993">
        <w:rPr>
          <w:rFonts w:ascii="Times New Roman" w:hAnsi="Times New Roman" w:cs="Times New Roman"/>
          <w:sz w:val="20"/>
          <w:szCs w:val="20"/>
        </w:rPr>
        <w:t>pattern is configured</w:t>
      </w:r>
      <w:r w:rsidR="00065751">
        <w:rPr>
          <w:rFonts w:ascii="Times New Roman" w:hAnsi="Times New Roman" w:cs="Times New Roman"/>
          <w:sz w:val="20"/>
          <w:szCs w:val="20"/>
        </w:rPr>
        <w:t xml:space="preserve"> in the NR CA scenario is still unclear.</w:t>
      </w:r>
    </w:p>
    <w:p w14:paraId="5F8FB103" w14:textId="69C6D2FA" w:rsidR="00001AB8" w:rsidRPr="004B5993" w:rsidRDefault="00001AB8" w:rsidP="00CD1B5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FD85878" w14:textId="263AE72B" w:rsidR="004B5993" w:rsidRDefault="004B5993" w:rsidP="00CD1B5C">
      <w:pPr>
        <w:jc w:val="both"/>
        <w:rPr>
          <w:rFonts w:ascii="Times New Roman" w:hAnsi="Times New Roman" w:cs="Times New Roman" w:hint="eastAsia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By current RAN2 agreements, the Cell DTX/DRX pattern is common for the </w:t>
      </w:r>
      <w:proofErr w:type="spellStart"/>
      <w:r>
        <w:rPr>
          <w:rFonts w:ascii="Times New Roman" w:hAnsi="Times New Roman" w:cs="Times New Roman"/>
          <w:sz w:val="20"/>
          <w:szCs w:val="20"/>
        </w:rPr>
        <w:t>PCell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>
        <w:rPr>
          <w:rFonts w:ascii="Times New Roman" w:hAnsi="Times New Roman" w:cs="Times New Roman"/>
          <w:sz w:val="20"/>
          <w:szCs w:val="20"/>
        </w:rPr>
        <w:t>SCell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respectively. If the </w:t>
      </w:r>
      <w:proofErr w:type="spellStart"/>
      <w:r>
        <w:rPr>
          <w:rFonts w:ascii="Times New Roman" w:hAnsi="Times New Roman" w:cs="Times New Roman"/>
          <w:sz w:val="20"/>
          <w:szCs w:val="20"/>
        </w:rPr>
        <w:t>PCell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>
        <w:rPr>
          <w:rFonts w:ascii="Times New Roman" w:hAnsi="Times New Roman" w:cs="Times New Roman"/>
          <w:sz w:val="20"/>
          <w:szCs w:val="20"/>
        </w:rPr>
        <w:t>SCell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adopts different Cell DTX/DRX patterns </w:t>
      </w:r>
      <w:r w:rsidR="00450F9C">
        <w:rPr>
          <w:rFonts w:ascii="Times New Roman" w:hAnsi="Times New Roman" w:cs="Times New Roman"/>
          <w:sz w:val="20"/>
          <w:szCs w:val="20"/>
        </w:rPr>
        <w:t>on</w:t>
      </w:r>
      <w:r>
        <w:rPr>
          <w:rFonts w:ascii="Times New Roman" w:hAnsi="Times New Roman" w:cs="Times New Roman"/>
          <w:sz w:val="20"/>
          <w:szCs w:val="20"/>
        </w:rPr>
        <w:t xml:space="preserve"> their own decision without alignment, the UE needs to activate two DTX/DRX configurations when performing</w:t>
      </w:r>
      <w:r>
        <w:rPr>
          <w:rFonts w:ascii="Times New Roman" w:hAnsi="Times New Roman" w:cs="Times New Roman"/>
          <w:sz w:val="20"/>
          <w:szCs w:val="20"/>
        </w:rPr>
        <w:t xml:space="preserve"> NR CA</w:t>
      </w:r>
      <w:r>
        <w:rPr>
          <w:rFonts w:ascii="Times New Roman" w:hAnsi="Times New Roman" w:cs="Times New Roman"/>
          <w:sz w:val="20"/>
          <w:szCs w:val="20"/>
        </w:rPr>
        <w:t>.</w:t>
      </w:r>
      <w:r w:rsidR="00450F9C">
        <w:rPr>
          <w:rFonts w:ascii="Times New Roman" w:hAnsi="Times New Roman" w:cs="Times New Roman"/>
          <w:sz w:val="20"/>
          <w:szCs w:val="20"/>
        </w:rPr>
        <w:t xml:space="preserve"> </w:t>
      </w:r>
      <w:r w:rsidR="001F04B6" w:rsidRPr="001F04B6">
        <w:rPr>
          <w:rFonts w:ascii="Times New Roman" w:hAnsi="Times New Roman" w:cs="Times New Roman"/>
          <w:sz w:val="20"/>
          <w:szCs w:val="20"/>
        </w:rPr>
        <w:t xml:space="preserve">Applying </w:t>
      </w:r>
      <w:r w:rsidR="001F04B6">
        <w:rPr>
          <w:rFonts w:ascii="Times New Roman" w:hAnsi="Times New Roman" w:cs="Times New Roman"/>
          <w:sz w:val="20"/>
          <w:szCs w:val="20"/>
        </w:rPr>
        <w:t>multiple Cell DTX/</w:t>
      </w:r>
      <w:r w:rsidR="001F04B6" w:rsidRPr="001F04B6">
        <w:rPr>
          <w:rFonts w:ascii="Times New Roman" w:hAnsi="Times New Roman" w:cs="Times New Roman"/>
          <w:sz w:val="20"/>
          <w:szCs w:val="20"/>
        </w:rPr>
        <w:t>DRX to NR CA would involve managing the different aggregated carriers' activit</w:t>
      </w:r>
      <w:r w:rsidR="001F04B6">
        <w:rPr>
          <w:rFonts w:ascii="Times New Roman" w:hAnsi="Times New Roman" w:cs="Times New Roman"/>
          <w:sz w:val="20"/>
          <w:szCs w:val="20"/>
        </w:rPr>
        <w:t>ies</w:t>
      </w:r>
      <w:r w:rsidR="001F04B6" w:rsidRPr="001F04B6">
        <w:rPr>
          <w:rFonts w:ascii="Times New Roman" w:hAnsi="Times New Roman" w:cs="Times New Roman"/>
          <w:sz w:val="20"/>
          <w:szCs w:val="20"/>
        </w:rPr>
        <w:t xml:space="preserve"> and inactivity periods.</w:t>
      </w:r>
      <w:r w:rsidR="001F04B6">
        <w:rPr>
          <w:rFonts w:ascii="Times New Roman" w:hAnsi="Times New Roman" w:cs="Times New Roman"/>
          <w:sz w:val="20"/>
          <w:szCs w:val="20"/>
        </w:rPr>
        <w:t xml:space="preserve"> Considering </w:t>
      </w:r>
      <w:r w:rsidR="001F04B6" w:rsidRPr="001F04B6">
        <w:rPr>
          <w:rFonts w:ascii="Times New Roman" w:hAnsi="Times New Roman" w:cs="Times New Roman"/>
          <w:sz w:val="20"/>
          <w:szCs w:val="20"/>
        </w:rPr>
        <w:t>NR CA allows multiple NR carriers within the same frequency range (intra-band) or different frequency ranges (inter-band) to be aggregated</w:t>
      </w:r>
      <w:r w:rsidR="001F04B6">
        <w:rPr>
          <w:rFonts w:ascii="Times New Roman" w:hAnsi="Times New Roman" w:cs="Times New Roman"/>
          <w:sz w:val="20"/>
          <w:szCs w:val="20"/>
        </w:rPr>
        <w:t>, s</w:t>
      </w:r>
      <w:r w:rsidR="00450F9C">
        <w:rPr>
          <w:rFonts w:ascii="Times New Roman" w:hAnsi="Times New Roman" w:cs="Times New Roman"/>
          <w:sz w:val="20"/>
          <w:szCs w:val="20"/>
        </w:rPr>
        <w:t xml:space="preserve">uch </w:t>
      </w:r>
      <w:r w:rsidR="001F04B6">
        <w:rPr>
          <w:rFonts w:ascii="Times New Roman" w:hAnsi="Times New Roman" w:cs="Times New Roman"/>
          <w:sz w:val="20"/>
          <w:szCs w:val="20"/>
        </w:rPr>
        <w:t xml:space="preserve">different </w:t>
      </w:r>
      <w:r w:rsidR="00450F9C">
        <w:rPr>
          <w:rFonts w:ascii="Times New Roman" w:hAnsi="Times New Roman" w:cs="Times New Roman"/>
          <w:sz w:val="20"/>
          <w:szCs w:val="20"/>
        </w:rPr>
        <w:lastRenderedPageBreak/>
        <w:t>DTX/DRX configuration</w:t>
      </w:r>
      <w:r w:rsidR="001F04B6">
        <w:rPr>
          <w:rFonts w:ascii="Times New Roman" w:hAnsi="Times New Roman" w:cs="Times New Roman"/>
          <w:sz w:val="20"/>
          <w:szCs w:val="20"/>
        </w:rPr>
        <w:t>s for NR CA</w:t>
      </w:r>
      <w:r w:rsidR="00450F9C">
        <w:rPr>
          <w:rFonts w:ascii="Times New Roman" w:hAnsi="Times New Roman" w:cs="Times New Roman"/>
          <w:sz w:val="20"/>
          <w:szCs w:val="20"/>
        </w:rPr>
        <w:t xml:space="preserve"> </w:t>
      </w:r>
      <w:r w:rsidR="001F04B6">
        <w:rPr>
          <w:rFonts w:ascii="Times New Roman" w:hAnsi="Times New Roman" w:cs="Times New Roman"/>
          <w:sz w:val="20"/>
          <w:szCs w:val="20"/>
        </w:rPr>
        <w:t xml:space="preserve">will </w:t>
      </w:r>
      <w:r w:rsidR="00450F9C">
        <w:rPr>
          <w:rFonts w:ascii="Times New Roman" w:hAnsi="Times New Roman" w:cs="Times New Roman"/>
          <w:sz w:val="20"/>
          <w:szCs w:val="20"/>
        </w:rPr>
        <w:t xml:space="preserve">impact UE implementation </w:t>
      </w:r>
      <w:r w:rsidR="001F04B6">
        <w:rPr>
          <w:rFonts w:ascii="Times New Roman" w:hAnsi="Times New Roman" w:cs="Times New Roman"/>
          <w:sz w:val="20"/>
          <w:szCs w:val="20"/>
        </w:rPr>
        <w:t>seriously</w:t>
      </w:r>
      <w:r w:rsidR="00450F9C">
        <w:rPr>
          <w:rFonts w:ascii="Times New Roman" w:hAnsi="Times New Roman" w:cs="Times New Roman"/>
          <w:sz w:val="20"/>
          <w:szCs w:val="20"/>
        </w:rPr>
        <w:t>, and even impact CA performance negatively.</w:t>
      </w:r>
    </w:p>
    <w:p w14:paraId="06B56AD4" w14:textId="77777777" w:rsidR="00001AB8" w:rsidRDefault="00001AB8" w:rsidP="00CD1B5C">
      <w:pPr>
        <w:jc w:val="both"/>
        <w:rPr>
          <w:rFonts w:ascii="Times New Roman" w:hAnsi="Times New Roman" w:cs="Times New Roman" w:hint="eastAsia"/>
          <w:sz w:val="20"/>
          <w:szCs w:val="20"/>
        </w:rPr>
      </w:pPr>
    </w:p>
    <w:p w14:paraId="0F728BA0" w14:textId="2932BF7A" w:rsidR="00E2699C" w:rsidRPr="00AE0D75" w:rsidRDefault="0058586D" w:rsidP="00E2699C">
      <w:pPr>
        <w:pStyle w:val="a3"/>
        <w:numPr>
          <w:ilvl w:val="0"/>
          <w:numId w:val="6"/>
        </w:numPr>
        <w:ind w:leftChars="0" w:left="1418" w:hanging="1418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6" w:name="_Ref134799385"/>
      <w:r>
        <w:rPr>
          <w:rFonts w:ascii="Times New Roman" w:hAnsi="Times New Roman" w:cs="Times New Roman"/>
          <w:b/>
          <w:bCs/>
          <w:sz w:val="20"/>
          <w:szCs w:val="20"/>
        </w:rPr>
        <w:t>Applying different Cell DTX/DRX patterns in NR CA impacts the UE implementation seriously and the benefit is unclear</w:t>
      </w:r>
      <w:r w:rsidR="00E2699C">
        <w:rPr>
          <w:rFonts w:ascii="Times New Roman" w:hAnsi="Times New Roman" w:cs="Times New Roman"/>
          <w:b/>
          <w:bCs/>
          <w:sz w:val="20"/>
          <w:szCs w:val="20"/>
        </w:rPr>
        <w:t>.</w:t>
      </w:r>
      <w:bookmarkEnd w:id="6"/>
    </w:p>
    <w:p w14:paraId="47727705" w14:textId="31F6EAA0" w:rsidR="00E2699C" w:rsidRPr="0058586D" w:rsidRDefault="00E2699C" w:rsidP="00CD1B5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893DD28" w14:textId="3786D474" w:rsidR="00990EDC" w:rsidRDefault="0058586D" w:rsidP="00CD1B5C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It has been considered as beneficial and then feasible to exchange the Cell DTX/DRX pattern between </w:t>
      </w:r>
      <w:proofErr w:type="spellStart"/>
      <w:r>
        <w:rPr>
          <w:rFonts w:ascii="Times New Roman" w:hAnsi="Times New Roman" w:cs="Times New Roman"/>
          <w:sz w:val="20"/>
          <w:szCs w:val="20"/>
        </w:rPr>
        <w:t>neighbour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gNBs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according to the RAN3 LS</w:t>
      </w:r>
      <w:r w:rsidR="008E4B11">
        <w:rPr>
          <w:rFonts w:ascii="Times New Roman" w:hAnsi="Times New Roman" w:cs="Times New Roman"/>
          <w:sz w:val="20"/>
          <w:szCs w:val="20"/>
        </w:rPr>
        <w:t xml:space="preserve"> [4]</w:t>
      </w:r>
      <w:r>
        <w:rPr>
          <w:rFonts w:ascii="Times New Roman" w:hAnsi="Times New Roman" w:cs="Times New Roman"/>
          <w:sz w:val="20"/>
          <w:szCs w:val="20"/>
        </w:rPr>
        <w:t xml:space="preserve">. Therefore, we think there is no technical difficulty to have Cell DTX/DRX configurations aligned between </w:t>
      </w:r>
      <w:proofErr w:type="spellStart"/>
      <w:r>
        <w:rPr>
          <w:rFonts w:ascii="Times New Roman" w:hAnsi="Times New Roman" w:cs="Times New Roman"/>
          <w:sz w:val="20"/>
          <w:szCs w:val="20"/>
        </w:rPr>
        <w:t>PCell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>
        <w:rPr>
          <w:rFonts w:ascii="Times New Roman" w:hAnsi="Times New Roman" w:cs="Times New Roman"/>
          <w:sz w:val="20"/>
          <w:szCs w:val="20"/>
        </w:rPr>
        <w:t>SCell</w:t>
      </w:r>
      <w:proofErr w:type="spellEnd"/>
      <w:r>
        <w:rPr>
          <w:rFonts w:ascii="Times New Roman" w:hAnsi="Times New Roman" w:cs="Times New Roman"/>
          <w:sz w:val="20"/>
          <w:szCs w:val="20"/>
        </w:rPr>
        <w:t>(s) even if they are not co-located in the same site.</w:t>
      </w:r>
    </w:p>
    <w:p w14:paraId="678F9C4F" w14:textId="77777777" w:rsidR="00990EDC" w:rsidRPr="00E2699C" w:rsidRDefault="00990EDC" w:rsidP="00CD1B5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513235F" w14:textId="2657C781" w:rsidR="008935CD" w:rsidRPr="0064741D" w:rsidRDefault="0058586D" w:rsidP="00CD1B5C">
      <w:pPr>
        <w:pStyle w:val="a3"/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ind w:leftChars="0" w:left="1134" w:hanging="1134"/>
        <w:contextualSpacing/>
        <w:jc w:val="both"/>
        <w:rPr>
          <w:rFonts w:ascii="Times New Roman" w:eastAsia="新細明體" w:hAnsi="Times New Roman" w:cs="Times New Roman"/>
          <w:b/>
          <w:bCs/>
          <w:sz w:val="20"/>
          <w:szCs w:val="20"/>
        </w:rPr>
      </w:pPr>
      <w:bookmarkStart w:id="7" w:name="_Ref127534806"/>
      <w:bookmarkStart w:id="8" w:name="_Ref134799787"/>
      <w:r>
        <w:rPr>
          <w:rFonts w:ascii="Times New Roman" w:eastAsia="新細明體" w:hAnsi="Times New Roman" w:cs="Times New Roman"/>
          <w:b/>
          <w:bCs/>
          <w:sz w:val="20"/>
          <w:szCs w:val="20"/>
        </w:rPr>
        <w:t xml:space="preserve">Confirm study item agreement that </w:t>
      </w:r>
      <w:r w:rsidRPr="0058586D">
        <w:rPr>
          <w:rFonts w:ascii="Times New Roman" w:eastAsia="新細明體" w:hAnsi="Times New Roman" w:cs="Times New Roman"/>
          <w:b/>
          <w:bCs/>
          <w:sz w:val="20"/>
          <w:szCs w:val="20"/>
        </w:rPr>
        <w:t>Cell DTX/DRX can be applicable for different cells in CA and no additional RAN2 impacts, or enhancements</w:t>
      </w:r>
      <w:r w:rsidR="00B2757B">
        <w:rPr>
          <w:rFonts w:ascii="Times New Roman" w:eastAsia="新細明體" w:hAnsi="Times New Roman" w:cs="Times New Roman"/>
          <w:b/>
          <w:bCs/>
          <w:sz w:val="20"/>
          <w:szCs w:val="20"/>
        </w:rPr>
        <w:t>.</w:t>
      </w:r>
      <w:bookmarkEnd w:id="7"/>
      <w:r>
        <w:rPr>
          <w:rFonts w:ascii="Times New Roman" w:eastAsia="新細明體" w:hAnsi="Times New Roman" w:cs="Times New Roman"/>
          <w:b/>
          <w:bCs/>
          <w:sz w:val="20"/>
          <w:szCs w:val="20"/>
        </w:rPr>
        <w:t xml:space="preserve"> The different cells in CA shall share the same(one) DTX/DRX pattern. FFS on configuration differentiation (such as ON duration) due to energy saving needs for different frequency ranges in stage 3.</w:t>
      </w:r>
      <w:bookmarkEnd w:id="8"/>
    </w:p>
    <w:p w14:paraId="2C132521" w14:textId="1BBCB044" w:rsidR="0056185A" w:rsidRDefault="0056185A" w:rsidP="003121EC">
      <w:pPr>
        <w:rPr>
          <w:rFonts w:ascii="Times New Roman" w:hAnsi="Times New Roman" w:cs="Times New Roman"/>
          <w:sz w:val="20"/>
          <w:szCs w:val="20"/>
        </w:rPr>
      </w:pPr>
    </w:p>
    <w:p w14:paraId="1479F2DC" w14:textId="171EE01A" w:rsidR="0058586D" w:rsidRPr="0064741D" w:rsidRDefault="0058586D" w:rsidP="0058586D">
      <w:pPr>
        <w:pStyle w:val="a3"/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ind w:leftChars="0" w:left="1134" w:hanging="1134"/>
        <w:contextualSpacing/>
        <w:jc w:val="both"/>
        <w:rPr>
          <w:rFonts w:ascii="Times New Roman" w:eastAsia="新細明體" w:hAnsi="Times New Roman" w:cs="Times New Roman"/>
          <w:b/>
          <w:bCs/>
          <w:sz w:val="20"/>
          <w:szCs w:val="20"/>
        </w:rPr>
      </w:pPr>
      <w:bookmarkStart w:id="9" w:name="_Ref134799809"/>
      <w:r>
        <w:rPr>
          <w:rFonts w:ascii="Times New Roman" w:eastAsia="新細明體" w:hAnsi="Times New Roman" w:cs="Times New Roman"/>
          <w:b/>
          <w:bCs/>
          <w:sz w:val="20"/>
          <w:szCs w:val="20"/>
        </w:rPr>
        <w:t>Send LS to RAN3 for RAN2 conclusion and agreements</w:t>
      </w:r>
      <w:r>
        <w:rPr>
          <w:rFonts w:ascii="Times New Roman" w:eastAsia="新細明體" w:hAnsi="Times New Roman" w:cs="Times New Roman"/>
          <w:b/>
          <w:bCs/>
          <w:sz w:val="20"/>
          <w:szCs w:val="20"/>
        </w:rPr>
        <w:t>.</w:t>
      </w:r>
      <w:bookmarkEnd w:id="9"/>
    </w:p>
    <w:p w14:paraId="311AA170" w14:textId="77777777" w:rsidR="0056185A" w:rsidRPr="0058586D" w:rsidRDefault="0056185A" w:rsidP="003121EC">
      <w:pPr>
        <w:rPr>
          <w:rFonts w:ascii="Times New Roman" w:hAnsi="Times New Roman" w:cs="Times New Roman" w:hint="eastAsia"/>
          <w:sz w:val="20"/>
          <w:szCs w:val="20"/>
        </w:rPr>
      </w:pPr>
    </w:p>
    <w:p w14:paraId="5210646A" w14:textId="505B5ECA" w:rsidR="003121EC" w:rsidRPr="003121EC" w:rsidRDefault="0027790E" w:rsidP="00555338">
      <w:pPr>
        <w:pStyle w:val="a3"/>
        <w:numPr>
          <w:ilvl w:val="0"/>
          <w:numId w:val="2"/>
        </w:numPr>
        <w:pBdr>
          <w:top w:val="single" w:sz="12" w:space="1" w:color="auto"/>
        </w:pBdr>
        <w:ind w:leftChars="0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Summary</w:t>
      </w:r>
    </w:p>
    <w:p w14:paraId="14236DF6" w14:textId="00FBE768" w:rsidR="003121EC" w:rsidRDefault="00246385" w:rsidP="003121E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n previous sections we made the following observations</w:t>
      </w:r>
      <w:r w:rsidR="000D2DF6">
        <w:rPr>
          <w:rFonts w:ascii="Times New Roman" w:hAnsi="Times New Roman" w:cs="Times New Roman"/>
          <w:sz w:val="20"/>
          <w:szCs w:val="20"/>
        </w:rPr>
        <w:t xml:space="preserve"> and proposals</w:t>
      </w:r>
      <w:r>
        <w:rPr>
          <w:rFonts w:ascii="Times New Roman" w:hAnsi="Times New Roman" w:cs="Times New Roman"/>
          <w:sz w:val="20"/>
          <w:szCs w:val="20"/>
        </w:rPr>
        <w:t>:</w:t>
      </w:r>
    </w:p>
    <w:p w14:paraId="2D47FF55" w14:textId="20BDB19E" w:rsidR="00A30FA6" w:rsidRPr="00B22D9D" w:rsidRDefault="00B22D9D" w:rsidP="00B22D9D">
      <w:pPr>
        <w:ind w:left="1419" w:hangingChars="709" w:hanging="1419"/>
        <w:rPr>
          <w:rFonts w:ascii="Times New Roman" w:hAnsi="Times New Roman" w:cs="Times New Roman"/>
          <w:b/>
          <w:bCs/>
          <w:sz w:val="20"/>
          <w:szCs w:val="20"/>
        </w:rPr>
      </w:pP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begin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instrText xml:space="preserve"> REF _Ref134799141 \w \h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  <w:instrText xml:space="preserve"> \* MERGEFORMAT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separate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t>Observation 1</w: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end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begin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instrText xml:space="preserve"> REF _Ref134799141 \h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  <w:instrText xml:space="preserve"> \* MERGEFORMAT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separate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t>Once the network activates Cell DTX/DRX the non-NES UEs will suffer from connection failures and/or unnecessary power consumption</w: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end"/>
      </w:r>
    </w:p>
    <w:p w14:paraId="61669CD0" w14:textId="2FBB5330" w:rsidR="00D00895" w:rsidRPr="00B22D9D" w:rsidRDefault="00B22D9D" w:rsidP="00B22D9D">
      <w:pPr>
        <w:ind w:left="1419" w:hangingChars="709" w:hanging="1419"/>
        <w:rPr>
          <w:rFonts w:ascii="Times New Roman" w:hAnsi="Times New Roman" w:cs="Times New Roman"/>
          <w:b/>
          <w:bCs/>
          <w:sz w:val="20"/>
          <w:szCs w:val="20"/>
        </w:rPr>
      </w:pP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begin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instrText xml:space="preserve"> REF _Ref134799188 \w \h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  <w:instrText xml:space="preserve"> \* MERGEFORMAT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separate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t>Proposal 1</w: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end"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begin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instrText xml:space="preserve"> REF _Ref134799188 \h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  <w:instrText xml:space="preserve"> \* MERGEFORMAT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separate"/>
      </w:r>
      <w:r w:rsidRPr="00B22D9D">
        <w:rPr>
          <w:rFonts w:ascii="Times New Roman" w:eastAsia="新細明體" w:hAnsi="Times New Roman" w:cs="Times New Roman"/>
          <w:b/>
          <w:bCs/>
          <w:sz w:val="20"/>
          <w:szCs w:val="20"/>
        </w:rPr>
        <w:t>Cell DTX/DRX is non-backward compatible to the non-NES UEs</w:t>
      </w:r>
      <w:r w:rsidRPr="00B22D9D">
        <w:rPr>
          <w:rFonts w:ascii="Times New Roman" w:eastAsia="新細明體" w:hAnsi="Times New Roman" w:cs="Times New Roman"/>
          <w:b/>
          <w:bCs/>
          <w:sz w:val="20"/>
          <w:szCs w:val="20"/>
        </w:rPr>
        <w:t>.</w: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end"/>
      </w:r>
    </w:p>
    <w:p w14:paraId="7E2AE46E" w14:textId="169A6DC6" w:rsidR="00B22D9D" w:rsidRDefault="00B22D9D" w:rsidP="003121EC">
      <w:pPr>
        <w:rPr>
          <w:rFonts w:ascii="Times New Roman" w:hAnsi="Times New Roman" w:cs="Times New Roman"/>
          <w:sz w:val="20"/>
          <w:szCs w:val="20"/>
        </w:rPr>
      </w:pPr>
    </w:p>
    <w:p w14:paraId="3D721507" w14:textId="4654BEBB" w:rsidR="00B22D9D" w:rsidRPr="00B22D9D" w:rsidRDefault="00B22D9D" w:rsidP="00B22D9D">
      <w:pPr>
        <w:ind w:left="1419" w:hangingChars="709" w:hanging="1419"/>
        <w:rPr>
          <w:rFonts w:ascii="Times New Roman" w:hAnsi="Times New Roman" w:cs="Times New Roman" w:hint="eastAsia"/>
          <w:b/>
          <w:bCs/>
          <w:sz w:val="20"/>
          <w:szCs w:val="20"/>
        </w:rPr>
      </w:pP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begin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instrText xml:space="preserve"> </w:instrText>
      </w:r>
      <w:r w:rsidRPr="00B22D9D">
        <w:rPr>
          <w:rFonts w:ascii="Times New Roman" w:hAnsi="Times New Roman" w:cs="Times New Roman" w:hint="eastAsia"/>
          <w:b/>
          <w:bCs/>
          <w:sz w:val="20"/>
          <w:szCs w:val="20"/>
        </w:rPr>
        <w:instrText>REF _Ref134799240 \w \h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instrText xml:space="preserve">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  <w:instrText xml:space="preserve"> \* MERGEFORMAT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separate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t>Observation 2</w: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end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begin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instrText xml:space="preserve"> REF _Ref134799240 \h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  <w:instrText xml:space="preserve"> \* MERGEFORMAT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separate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t>There is no benefit to allow cell reselection for RRC_IDLE/RRC_INACTIVE non-NES UEs in terms of service continuity</w: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end"/>
      </w:r>
    </w:p>
    <w:p w14:paraId="0B2A1D77" w14:textId="2EB792B4" w:rsidR="00B22D9D" w:rsidRPr="00B22D9D" w:rsidRDefault="00B22D9D" w:rsidP="00B22D9D">
      <w:pPr>
        <w:ind w:left="1419" w:hangingChars="709" w:hanging="1419"/>
        <w:rPr>
          <w:rFonts w:ascii="Times New Roman" w:hAnsi="Times New Roman" w:cs="Times New Roman"/>
          <w:b/>
          <w:bCs/>
          <w:sz w:val="20"/>
          <w:szCs w:val="20"/>
        </w:rPr>
      </w:pP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begin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instrText xml:space="preserve"> REF _Ref134799275 \w \h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  <w:instrText xml:space="preserve"> \* MERGEFORMAT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separate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t>Proposal 2</w: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end"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begin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instrText xml:space="preserve"> REF _Ref134799275 \h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  <w:instrText xml:space="preserve"> \* MERGEFORMAT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separate"/>
      </w:r>
      <w:r w:rsidRPr="00B22D9D">
        <w:rPr>
          <w:rFonts w:ascii="Times New Roman" w:eastAsia="新細明體" w:hAnsi="Times New Roman" w:cs="Times New Roman"/>
          <w:b/>
          <w:bCs/>
          <w:sz w:val="20"/>
          <w:szCs w:val="20"/>
        </w:rPr>
        <w:t>Non-NES UEs are not allowed to access the NES cells by cell barring mechanism. The enhancement details are discussed in Cell selection/re-selection AI.</w: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end"/>
      </w:r>
    </w:p>
    <w:p w14:paraId="4C1BA149" w14:textId="6B4775A4" w:rsidR="00B22D9D" w:rsidRDefault="00B22D9D" w:rsidP="003121EC">
      <w:pPr>
        <w:rPr>
          <w:rFonts w:ascii="Times New Roman" w:hAnsi="Times New Roman" w:cs="Times New Roman"/>
          <w:sz w:val="20"/>
          <w:szCs w:val="20"/>
        </w:rPr>
      </w:pPr>
    </w:p>
    <w:p w14:paraId="2F790FD7" w14:textId="6777229D" w:rsidR="00B22D9D" w:rsidRPr="00B22D9D" w:rsidRDefault="00B22D9D" w:rsidP="00B22D9D">
      <w:pPr>
        <w:ind w:left="1419" w:hangingChars="709" w:hanging="1419"/>
        <w:rPr>
          <w:rFonts w:ascii="Times New Roman" w:hAnsi="Times New Roman" w:cs="Times New Roman" w:hint="eastAsia"/>
          <w:b/>
          <w:bCs/>
          <w:sz w:val="20"/>
          <w:szCs w:val="20"/>
        </w:rPr>
      </w:pP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begin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instrText xml:space="preserve"> </w:instrText>
      </w:r>
      <w:r w:rsidRPr="00B22D9D">
        <w:rPr>
          <w:rFonts w:ascii="Times New Roman" w:hAnsi="Times New Roman" w:cs="Times New Roman" w:hint="eastAsia"/>
          <w:b/>
          <w:bCs/>
          <w:sz w:val="20"/>
          <w:szCs w:val="20"/>
        </w:rPr>
        <w:instrText>REF _Ref134799315 \w \h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instrText xml:space="preserve">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  <w:instrText xml:space="preserve"> \* MERGEFORMAT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separate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t>Observation 3</w: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end"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begin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instrText xml:space="preserve"> REF _Ref134799315 \h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  <w:instrText xml:space="preserve"> \* MERGEFORMAT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separate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t>Cell DTX/DRX configuration is cell-wise and can be adopted in different architecture options.</w: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end"/>
      </w:r>
    </w:p>
    <w:p w14:paraId="02B16A4B" w14:textId="5C7E5BBB" w:rsidR="00B22D9D" w:rsidRPr="00B22D9D" w:rsidRDefault="00B22D9D" w:rsidP="00B22D9D">
      <w:pPr>
        <w:ind w:left="1419" w:hangingChars="709" w:hanging="1419"/>
        <w:rPr>
          <w:rFonts w:ascii="Times New Roman" w:hAnsi="Times New Roman" w:cs="Times New Roman"/>
          <w:b/>
          <w:bCs/>
          <w:sz w:val="20"/>
          <w:szCs w:val="20"/>
        </w:rPr>
      </w:pP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begin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instrText xml:space="preserve"> REF _Ref134799346 \w \h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  <w:instrText xml:space="preserve"> \* MERGEFORMAT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separate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t>Proposal 3</w: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end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begin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instrText xml:space="preserve"> REF _Ref134799346 \h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  <w:instrText xml:space="preserve"> \* MERGEFORMAT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separate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t xml:space="preserve">Cell DTX/DRX is applicable for all architecture options including MR-DC, </w:t>
      </w:r>
      <w:proofErr w:type="gramStart"/>
      <w:r w:rsidRPr="00B22D9D">
        <w:rPr>
          <w:rFonts w:ascii="Times New Roman" w:hAnsi="Times New Roman" w:cs="Times New Roman"/>
          <w:b/>
          <w:bCs/>
          <w:sz w:val="20"/>
          <w:szCs w:val="20"/>
        </w:rPr>
        <w:t>SA</w:t>
      </w:r>
      <w:proofErr w:type="gramEnd"/>
      <w:r w:rsidRPr="00B22D9D">
        <w:rPr>
          <w:rFonts w:ascii="Times New Roman" w:hAnsi="Times New Roman" w:cs="Times New Roman"/>
          <w:b/>
          <w:bCs/>
          <w:sz w:val="20"/>
          <w:szCs w:val="20"/>
        </w:rPr>
        <w:t xml:space="preserve"> and NR-DC</w:t>
      </w:r>
      <w:r w:rsidRPr="00B22D9D">
        <w:rPr>
          <w:rFonts w:ascii="Times New Roman" w:eastAsia="新細明體" w:hAnsi="Times New Roman" w:cs="Times New Roman"/>
          <w:b/>
          <w:bCs/>
          <w:sz w:val="20"/>
          <w:szCs w:val="20"/>
        </w:rPr>
        <w:t>.</w:t>
      </w:r>
      <w:r w:rsidRPr="00B22D9D">
        <w:rPr>
          <w:rFonts w:ascii="Times New Roman" w:eastAsia="新細明體" w:hAnsi="Times New Roman" w:cs="Times New Roman"/>
          <w:b/>
          <w:bCs/>
          <w:sz w:val="20"/>
          <w:szCs w:val="20"/>
        </w:rPr>
        <w:t xml:space="preserve"> FFS on procedure and signaling details in stage 3.</w: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end"/>
      </w:r>
    </w:p>
    <w:p w14:paraId="608B25B2" w14:textId="7691F810" w:rsidR="00B22D9D" w:rsidRDefault="00B22D9D" w:rsidP="003121EC">
      <w:pPr>
        <w:rPr>
          <w:rFonts w:ascii="Times New Roman" w:hAnsi="Times New Roman" w:cs="Times New Roman"/>
          <w:sz w:val="20"/>
          <w:szCs w:val="20"/>
        </w:rPr>
      </w:pPr>
    </w:p>
    <w:p w14:paraId="58E66390" w14:textId="4C0DF772" w:rsidR="00B22D9D" w:rsidRPr="00B22D9D" w:rsidRDefault="00B22D9D" w:rsidP="00B22D9D">
      <w:pPr>
        <w:ind w:left="1419" w:hangingChars="709" w:hanging="1419"/>
        <w:rPr>
          <w:rFonts w:ascii="Times New Roman" w:hAnsi="Times New Roman" w:cs="Times New Roman"/>
          <w:b/>
          <w:bCs/>
          <w:sz w:val="20"/>
          <w:szCs w:val="20"/>
        </w:rPr>
      </w:pPr>
      <w:r w:rsidRPr="00B22D9D">
        <w:rPr>
          <w:rFonts w:ascii="Times New Roman" w:hAnsi="Times New Roman" w:cs="Times New Roman"/>
          <w:b/>
          <w:bCs/>
          <w:sz w:val="20"/>
          <w:szCs w:val="20"/>
        </w:rPr>
        <w:lastRenderedPageBreak/>
        <w:fldChar w:fldCharType="begin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instrText xml:space="preserve"> </w:instrText>
      </w:r>
      <w:r w:rsidRPr="00B22D9D">
        <w:rPr>
          <w:rFonts w:ascii="Times New Roman" w:hAnsi="Times New Roman" w:cs="Times New Roman" w:hint="eastAsia"/>
          <w:b/>
          <w:bCs/>
          <w:sz w:val="20"/>
          <w:szCs w:val="20"/>
        </w:rPr>
        <w:instrText>REF _Ref134799385 \w \h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instrText xml:space="preserve">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  <w:instrText xml:space="preserve"> \* MERGEFORMAT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separate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t>Observation 4</w: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end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begin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instrText xml:space="preserve"> REF _Ref134799385 \h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  <w:instrText xml:space="preserve"> \* MERGEFORMAT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separate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t>Applying different Cell DTX/DRX patterns in NR CA impacts the UE implementation seriously and the benefit is unclear.</w: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end"/>
      </w:r>
    </w:p>
    <w:p w14:paraId="67A3B6AF" w14:textId="5CB442C4" w:rsidR="00B22D9D" w:rsidRPr="00B22D9D" w:rsidRDefault="00B22D9D" w:rsidP="00B22D9D">
      <w:pPr>
        <w:ind w:left="1419" w:hangingChars="709" w:hanging="1419"/>
        <w:rPr>
          <w:rFonts w:ascii="Times New Roman" w:hAnsi="Times New Roman" w:cs="Times New Roman"/>
          <w:b/>
          <w:bCs/>
          <w:sz w:val="20"/>
          <w:szCs w:val="20"/>
        </w:rPr>
      </w:pP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begin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instrText xml:space="preserve"> REF _Ref134799787 \w \h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  <w:instrText xml:space="preserve"> \* MERGEFORMAT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separate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t>Proposal 4</w: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end"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begin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instrText xml:space="preserve"> REF _Ref134799787 \h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  <w:instrText xml:space="preserve"> \* MERGEFORMAT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separate"/>
      </w:r>
      <w:r w:rsidRPr="00B22D9D">
        <w:rPr>
          <w:rFonts w:ascii="Times New Roman" w:eastAsia="新細明體" w:hAnsi="Times New Roman" w:cs="Times New Roman"/>
          <w:b/>
          <w:bCs/>
          <w:sz w:val="20"/>
          <w:szCs w:val="20"/>
        </w:rPr>
        <w:t xml:space="preserve">Confirm study item agreement that </w:t>
      </w:r>
      <w:r w:rsidRPr="00B22D9D">
        <w:rPr>
          <w:rFonts w:ascii="Times New Roman" w:eastAsia="新細明體" w:hAnsi="Times New Roman" w:cs="Times New Roman"/>
          <w:b/>
          <w:bCs/>
          <w:sz w:val="20"/>
          <w:szCs w:val="20"/>
        </w:rPr>
        <w:t>Cell DTX/DRX can be applicable for different cells in CA and no additional RAN2 impacts, or enhancements</w:t>
      </w:r>
      <w:r w:rsidRPr="00B22D9D">
        <w:rPr>
          <w:rFonts w:ascii="Times New Roman" w:eastAsia="新細明體" w:hAnsi="Times New Roman" w:cs="Times New Roman"/>
          <w:b/>
          <w:bCs/>
          <w:sz w:val="20"/>
          <w:szCs w:val="20"/>
        </w:rPr>
        <w:t>. The different cells in CA shall share the same(one) DTX/DRX pattern. FFS on configuration differentiation (such as ON duration) due to energy saving needs for different frequency ranges in stage 3.</w: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end"/>
      </w:r>
    </w:p>
    <w:p w14:paraId="4FA902DF" w14:textId="46AD3E80" w:rsidR="00B22D9D" w:rsidRPr="00B22D9D" w:rsidRDefault="00B22D9D" w:rsidP="00B22D9D">
      <w:pPr>
        <w:ind w:left="1419" w:hangingChars="709" w:hanging="1419"/>
        <w:rPr>
          <w:rFonts w:ascii="Times New Roman" w:hAnsi="Times New Roman" w:cs="Times New Roman"/>
          <w:b/>
          <w:bCs/>
          <w:sz w:val="20"/>
          <w:szCs w:val="20"/>
        </w:rPr>
      </w:pP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begin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instrText xml:space="preserve"> </w:instrText>
      </w:r>
      <w:r w:rsidRPr="00B22D9D">
        <w:rPr>
          <w:rFonts w:ascii="Times New Roman" w:hAnsi="Times New Roman" w:cs="Times New Roman" w:hint="eastAsia"/>
          <w:b/>
          <w:bCs/>
          <w:sz w:val="20"/>
          <w:szCs w:val="20"/>
        </w:rPr>
        <w:instrText>REF _Ref134799809 \w \h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instrText xml:space="preserve">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  <w:instrText xml:space="preserve"> \* MERGEFORMAT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separate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t>Proposal 5</w: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end"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begin"/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instrText xml:space="preserve"> REF _Ref134799809 \h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  <w:instrText xml:space="preserve"> \* MERGEFORMAT </w:instrTex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separate"/>
      </w:r>
      <w:r w:rsidRPr="00B22D9D">
        <w:rPr>
          <w:rFonts w:ascii="Times New Roman" w:eastAsia="新細明體" w:hAnsi="Times New Roman" w:cs="Times New Roman"/>
          <w:b/>
          <w:bCs/>
          <w:sz w:val="20"/>
          <w:szCs w:val="20"/>
        </w:rPr>
        <w:t>Send LS to RAN3 for RAN2 conclusion and agreements</w:t>
      </w:r>
      <w:r w:rsidRPr="00B22D9D">
        <w:rPr>
          <w:rFonts w:ascii="Times New Roman" w:eastAsia="新細明體" w:hAnsi="Times New Roman" w:cs="Times New Roman"/>
          <w:b/>
          <w:bCs/>
          <w:sz w:val="20"/>
          <w:szCs w:val="20"/>
        </w:rPr>
        <w:t>.</w:t>
      </w:r>
      <w:r w:rsidRPr="00B22D9D">
        <w:rPr>
          <w:rFonts w:ascii="Times New Roman" w:hAnsi="Times New Roman" w:cs="Times New Roman"/>
          <w:b/>
          <w:bCs/>
          <w:sz w:val="20"/>
          <w:szCs w:val="20"/>
        </w:rPr>
        <w:fldChar w:fldCharType="end"/>
      </w:r>
    </w:p>
    <w:p w14:paraId="1157E03A" w14:textId="77777777" w:rsidR="00B22D9D" w:rsidRPr="0027790E" w:rsidRDefault="00B22D9D" w:rsidP="003121EC">
      <w:pPr>
        <w:rPr>
          <w:rFonts w:ascii="Times New Roman" w:hAnsi="Times New Roman" w:cs="Times New Roman" w:hint="eastAsia"/>
          <w:sz w:val="20"/>
          <w:szCs w:val="20"/>
        </w:rPr>
      </w:pPr>
    </w:p>
    <w:p w14:paraId="1A9040D8" w14:textId="67E9C331" w:rsidR="003121EC" w:rsidRPr="003121EC" w:rsidRDefault="003121EC" w:rsidP="00555338">
      <w:pPr>
        <w:pStyle w:val="a3"/>
        <w:numPr>
          <w:ilvl w:val="0"/>
          <w:numId w:val="2"/>
        </w:numPr>
        <w:pBdr>
          <w:top w:val="single" w:sz="12" w:space="1" w:color="auto"/>
        </w:pBdr>
        <w:ind w:leftChars="0"/>
        <w:outlineLvl w:val="0"/>
        <w:rPr>
          <w:rFonts w:ascii="Arial" w:hAnsi="Arial" w:cs="Arial"/>
          <w:sz w:val="36"/>
          <w:szCs w:val="36"/>
        </w:rPr>
      </w:pPr>
      <w:r w:rsidRPr="003121EC">
        <w:rPr>
          <w:rFonts w:ascii="Arial" w:hAnsi="Arial" w:cs="Arial" w:hint="eastAsia"/>
          <w:sz w:val="36"/>
          <w:szCs w:val="36"/>
        </w:rPr>
        <w:t>R</w:t>
      </w:r>
      <w:r w:rsidRPr="003121EC">
        <w:rPr>
          <w:rFonts w:ascii="Arial" w:hAnsi="Arial" w:cs="Arial"/>
          <w:sz w:val="36"/>
          <w:szCs w:val="36"/>
        </w:rPr>
        <w:t>eferences</w:t>
      </w:r>
    </w:p>
    <w:p w14:paraId="34221CCF" w14:textId="6CFF5D67" w:rsidR="00DB5C39" w:rsidRDefault="00BE0D30" w:rsidP="00CE16DF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sz w:val="20"/>
          <w:szCs w:val="20"/>
        </w:rPr>
      </w:pPr>
      <w:r w:rsidRPr="00BE0D30">
        <w:rPr>
          <w:rFonts w:ascii="Times New Roman" w:hAnsi="Times New Roman" w:cs="Times New Roman"/>
          <w:sz w:val="20"/>
          <w:szCs w:val="20"/>
        </w:rPr>
        <w:t>RAN2#121bis-e draft meeting report (v2)</w:t>
      </w:r>
    </w:p>
    <w:p w14:paraId="1C6CE8C8" w14:textId="4A9129BA" w:rsidR="003121EC" w:rsidRDefault="00BE607F" w:rsidP="00CE16DF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2-2</w:t>
      </w:r>
      <w:r w:rsidR="005A14BF">
        <w:rPr>
          <w:rFonts w:ascii="Times New Roman" w:hAnsi="Times New Roman" w:cs="Times New Roman"/>
          <w:sz w:val="20"/>
          <w:szCs w:val="20"/>
        </w:rPr>
        <w:t>30</w:t>
      </w:r>
      <w:r w:rsidR="00BE0D30">
        <w:rPr>
          <w:rFonts w:ascii="Times New Roman" w:hAnsi="Times New Roman" w:cs="Times New Roman"/>
          <w:sz w:val="20"/>
          <w:szCs w:val="20"/>
        </w:rPr>
        <w:t>0002</w:t>
      </w:r>
      <w:r>
        <w:rPr>
          <w:rFonts w:ascii="Times New Roman" w:hAnsi="Times New Roman" w:cs="Times New Roman"/>
          <w:sz w:val="20"/>
          <w:szCs w:val="20"/>
        </w:rPr>
        <w:tab/>
      </w:r>
      <w:r w:rsidR="00BE0D30" w:rsidRPr="00BE0D30">
        <w:rPr>
          <w:rFonts w:ascii="Times New Roman" w:hAnsi="Times New Roman" w:cs="Times New Roman"/>
          <w:sz w:val="20"/>
          <w:szCs w:val="20"/>
        </w:rPr>
        <w:t>RAN2#120 Meeting Report</w:t>
      </w:r>
    </w:p>
    <w:p w14:paraId="3DFA9844" w14:textId="78191D29" w:rsidR="008E4B11" w:rsidRDefault="008E4B11" w:rsidP="00CE16DF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GPP TR 38.864 V18.0.0</w:t>
      </w:r>
      <w:r>
        <w:rPr>
          <w:rFonts w:ascii="Times New Roman" w:hAnsi="Times New Roman" w:cs="Times New Roman"/>
          <w:sz w:val="20"/>
          <w:szCs w:val="20"/>
        </w:rPr>
        <w:tab/>
      </w:r>
      <w:r w:rsidRPr="008E4B11">
        <w:rPr>
          <w:rFonts w:ascii="Times New Roman" w:hAnsi="Times New Roman" w:cs="Times New Roman"/>
          <w:sz w:val="20"/>
          <w:szCs w:val="20"/>
        </w:rPr>
        <w:t>Study on network energy savings for NR</w:t>
      </w:r>
    </w:p>
    <w:p w14:paraId="41FA057E" w14:textId="2DAC4705" w:rsidR="004D29C8" w:rsidRDefault="004D29C8" w:rsidP="00CE16DF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2-2211159</w:t>
      </w:r>
      <w:r>
        <w:rPr>
          <w:rFonts w:ascii="Times New Roman" w:hAnsi="Times New Roman" w:cs="Times New Roman"/>
          <w:sz w:val="20"/>
          <w:szCs w:val="20"/>
        </w:rPr>
        <w:tab/>
      </w:r>
      <w:r w:rsidRPr="004D29C8">
        <w:rPr>
          <w:rFonts w:ascii="Times New Roman" w:hAnsi="Times New Roman" w:cs="Times New Roman"/>
          <w:sz w:val="20"/>
          <w:szCs w:val="20"/>
        </w:rPr>
        <w:t>LS on Cell DTX/DRX for NR network energy savings (R3-226002; contact: Huawei)</w:t>
      </w:r>
    </w:p>
    <w:p w14:paraId="0DF21DC6" w14:textId="201E4453" w:rsidR="003121EC" w:rsidRPr="001C5902" w:rsidRDefault="003121EC" w:rsidP="003121EC">
      <w:pPr>
        <w:rPr>
          <w:rFonts w:ascii="Times New Roman" w:hAnsi="Times New Roman" w:cs="Times New Roman"/>
          <w:sz w:val="20"/>
          <w:szCs w:val="20"/>
        </w:rPr>
      </w:pPr>
    </w:p>
    <w:sectPr w:rsidR="003121EC" w:rsidRPr="001C590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60156F" w14:textId="77777777" w:rsidR="00C2017E" w:rsidRDefault="00C2017E" w:rsidP="003121EC">
      <w:r>
        <w:separator/>
      </w:r>
    </w:p>
  </w:endnote>
  <w:endnote w:type="continuationSeparator" w:id="0">
    <w:p w14:paraId="228D582B" w14:textId="77777777" w:rsidR="00C2017E" w:rsidRDefault="00C2017E" w:rsidP="00312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31DF32" w14:textId="77777777" w:rsidR="00C2017E" w:rsidRDefault="00C2017E" w:rsidP="003121EC">
      <w:r>
        <w:separator/>
      </w:r>
    </w:p>
  </w:footnote>
  <w:footnote w:type="continuationSeparator" w:id="0">
    <w:p w14:paraId="33CF1C0E" w14:textId="77777777" w:rsidR="00C2017E" w:rsidRDefault="00C2017E" w:rsidP="00312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7159D3"/>
    <w:multiLevelType w:val="hybridMultilevel"/>
    <w:tmpl w:val="09B60998"/>
    <w:lvl w:ilvl="0" w:tplc="E7786FDE">
      <w:start w:val="1"/>
      <w:numFmt w:val="decimal"/>
      <w:lvlText w:val="Observation %1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BA31CF"/>
    <w:multiLevelType w:val="hybridMultilevel"/>
    <w:tmpl w:val="FE4C673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6DE3293"/>
    <w:multiLevelType w:val="hybridMultilevel"/>
    <w:tmpl w:val="DEC4AA74"/>
    <w:lvl w:ilvl="0" w:tplc="BC3A9B22">
      <w:start w:val="1"/>
      <w:numFmt w:val="decimal"/>
      <w:lvlText w:val="Proposal %1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FE2140"/>
    <w:multiLevelType w:val="hybridMultilevel"/>
    <w:tmpl w:val="31EA3372"/>
    <w:lvl w:ilvl="0" w:tplc="16D2BE58">
      <w:start w:val="1"/>
      <w:numFmt w:val="decimal"/>
      <w:lvlText w:val="Observation %1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4E97018"/>
    <w:multiLevelType w:val="multilevel"/>
    <w:tmpl w:val="D2D4A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A5F5E1A"/>
    <w:multiLevelType w:val="hybridMultilevel"/>
    <w:tmpl w:val="51DCC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65712"/>
    <w:multiLevelType w:val="hybridMultilevel"/>
    <w:tmpl w:val="169E1632"/>
    <w:lvl w:ilvl="0" w:tplc="451E22B0">
      <w:start w:val="4"/>
      <w:numFmt w:val="decimal"/>
      <w:lvlText w:val="Observation %1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BE43B0D"/>
    <w:multiLevelType w:val="hybridMultilevel"/>
    <w:tmpl w:val="D4A2CC26"/>
    <w:lvl w:ilvl="0" w:tplc="CE0E67E4">
      <w:start w:val="1"/>
      <w:numFmt w:val="decimal"/>
      <w:lvlText w:val="Proposal %1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3B054BF"/>
    <w:multiLevelType w:val="hybridMultilevel"/>
    <w:tmpl w:val="D870EB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D641C51"/>
    <w:multiLevelType w:val="hybridMultilevel"/>
    <w:tmpl w:val="304E6E68"/>
    <w:lvl w:ilvl="0" w:tplc="9F46E33A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0EF6BF0"/>
    <w:multiLevelType w:val="hybridMultilevel"/>
    <w:tmpl w:val="69F4309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04109"/>
    <w:multiLevelType w:val="hybridMultilevel"/>
    <w:tmpl w:val="31EA3372"/>
    <w:lvl w:ilvl="0" w:tplc="16D2BE58">
      <w:start w:val="1"/>
      <w:numFmt w:val="decimal"/>
      <w:lvlText w:val="Observation %1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87A54C2"/>
    <w:multiLevelType w:val="hybridMultilevel"/>
    <w:tmpl w:val="68D08EB0"/>
    <w:lvl w:ilvl="0" w:tplc="05A87D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814F0"/>
    <w:multiLevelType w:val="hybridMultilevel"/>
    <w:tmpl w:val="D4A2CC26"/>
    <w:lvl w:ilvl="0" w:tplc="CE0E67E4">
      <w:start w:val="1"/>
      <w:numFmt w:val="decimal"/>
      <w:lvlText w:val="Proposal %1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3"/>
  </w:num>
  <w:num w:numId="2">
    <w:abstractNumId w:val="4"/>
  </w:num>
  <w:num w:numId="3">
    <w:abstractNumId w:val="16"/>
  </w:num>
  <w:num w:numId="4">
    <w:abstractNumId w:val="9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3"/>
  </w:num>
  <w:num w:numId="12">
    <w:abstractNumId w:val="17"/>
  </w:num>
  <w:num w:numId="13">
    <w:abstractNumId w:val="7"/>
  </w:num>
  <w:num w:numId="14">
    <w:abstractNumId w:val="16"/>
  </w:num>
  <w:num w:numId="15">
    <w:abstractNumId w:val="16"/>
  </w:num>
  <w:num w:numId="16">
    <w:abstractNumId w:val="16"/>
  </w:num>
  <w:num w:numId="17">
    <w:abstractNumId w:val="16"/>
  </w:num>
  <w:num w:numId="18">
    <w:abstractNumId w:val="14"/>
  </w:num>
  <w:num w:numId="19">
    <w:abstractNumId w:val="15"/>
  </w:num>
  <w:num w:numId="20">
    <w:abstractNumId w:val="0"/>
  </w:num>
  <w:num w:numId="21">
    <w:abstractNumId w:val="2"/>
  </w:num>
  <w:num w:numId="22">
    <w:abstractNumId w:val="6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1EC"/>
    <w:rsid w:val="000005FC"/>
    <w:rsid w:val="000018BF"/>
    <w:rsid w:val="00001AB8"/>
    <w:rsid w:val="000030D5"/>
    <w:rsid w:val="00023ACE"/>
    <w:rsid w:val="0003216C"/>
    <w:rsid w:val="00034EDA"/>
    <w:rsid w:val="000353B7"/>
    <w:rsid w:val="00041C5B"/>
    <w:rsid w:val="00046A53"/>
    <w:rsid w:val="000478F1"/>
    <w:rsid w:val="00055209"/>
    <w:rsid w:val="00063E7D"/>
    <w:rsid w:val="00064EE5"/>
    <w:rsid w:val="0006539A"/>
    <w:rsid w:val="00065751"/>
    <w:rsid w:val="00071701"/>
    <w:rsid w:val="0007186F"/>
    <w:rsid w:val="00076D67"/>
    <w:rsid w:val="00082635"/>
    <w:rsid w:val="0008397C"/>
    <w:rsid w:val="00085BF0"/>
    <w:rsid w:val="00086351"/>
    <w:rsid w:val="0008784D"/>
    <w:rsid w:val="000915C8"/>
    <w:rsid w:val="00096A0C"/>
    <w:rsid w:val="0009708B"/>
    <w:rsid w:val="000C346F"/>
    <w:rsid w:val="000D2DF6"/>
    <w:rsid w:val="000D3F73"/>
    <w:rsid w:val="000D600A"/>
    <w:rsid w:val="000D7D3A"/>
    <w:rsid w:val="000E006B"/>
    <w:rsid w:val="000F2EFA"/>
    <w:rsid w:val="000F63BC"/>
    <w:rsid w:val="00102405"/>
    <w:rsid w:val="00103E86"/>
    <w:rsid w:val="00107B90"/>
    <w:rsid w:val="00111A38"/>
    <w:rsid w:val="001140B8"/>
    <w:rsid w:val="001264BE"/>
    <w:rsid w:val="00137CE7"/>
    <w:rsid w:val="00142413"/>
    <w:rsid w:val="0014563D"/>
    <w:rsid w:val="00146C3C"/>
    <w:rsid w:val="0016108F"/>
    <w:rsid w:val="001829F9"/>
    <w:rsid w:val="0019094C"/>
    <w:rsid w:val="00190DA0"/>
    <w:rsid w:val="001911A4"/>
    <w:rsid w:val="0019399E"/>
    <w:rsid w:val="00194D92"/>
    <w:rsid w:val="001957FF"/>
    <w:rsid w:val="001A412F"/>
    <w:rsid w:val="001B4CEC"/>
    <w:rsid w:val="001C16A4"/>
    <w:rsid w:val="001C4C69"/>
    <w:rsid w:val="001C5902"/>
    <w:rsid w:val="001C6B3D"/>
    <w:rsid w:val="001C70B7"/>
    <w:rsid w:val="001D03BB"/>
    <w:rsid w:val="001D4AA8"/>
    <w:rsid w:val="001D520B"/>
    <w:rsid w:val="001E19D6"/>
    <w:rsid w:val="001E7DAA"/>
    <w:rsid w:val="001F02B9"/>
    <w:rsid w:val="001F04B6"/>
    <w:rsid w:val="00202B60"/>
    <w:rsid w:val="00205A83"/>
    <w:rsid w:val="00210CF4"/>
    <w:rsid w:val="00211AB3"/>
    <w:rsid w:val="0021450E"/>
    <w:rsid w:val="00216BD8"/>
    <w:rsid w:val="00221B21"/>
    <w:rsid w:val="002255F7"/>
    <w:rsid w:val="00225662"/>
    <w:rsid w:val="00227C34"/>
    <w:rsid w:val="00233A77"/>
    <w:rsid w:val="002429C5"/>
    <w:rsid w:val="00246385"/>
    <w:rsid w:val="002477CF"/>
    <w:rsid w:val="002632E9"/>
    <w:rsid w:val="002707F7"/>
    <w:rsid w:val="00270A42"/>
    <w:rsid w:val="00274FCF"/>
    <w:rsid w:val="00276D5B"/>
    <w:rsid w:val="002771D1"/>
    <w:rsid w:val="0027790E"/>
    <w:rsid w:val="00282D5C"/>
    <w:rsid w:val="00287509"/>
    <w:rsid w:val="002903C0"/>
    <w:rsid w:val="0029184C"/>
    <w:rsid w:val="00292084"/>
    <w:rsid w:val="00292F6C"/>
    <w:rsid w:val="0029329A"/>
    <w:rsid w:val="00295A30"/>
    <w:rsid w:val="002A3E57"/>
    <w:rsid w:val="002A4F02"/>
    <w:rsid w:val="002A6EBA"/>
    <w:rsid w:val="002A7E65"/>
    <w:rsid w:val="002B4A1A"/>
    <w:rsid w:val="002B4D3F"/>
    <w:rsid w:val="002B4F41"/>
    <w:rsid w:val="002B6E1F"/>
    <w:rsid w:val="002C1563"/>
    <w:rsid w:val="002C703E"/>
    <w:rsid w:val="002D1986"/>
    <w:rsid w:val="002E223D"/>
    <w:rsid w:val="002F0474"/>
    <w:rsid w:val="002F11DC"/>
    <w:rsid w:val="002F1A96"/>
    <w:rsid w:val="002F464D"/>
    <w:rsid w:val="002F574F"/>
    <w:rsid w:val="002F6D63"/>
    <w:rsid w:val="002F76A5"/>
    <w:rsid w:val="0031078D"/>
    <w:rsid w:val="003121EC"/>
    <w:rsid w:val="003201F3"/>
    <w:rsid w:val="0032137D"/>
    <w:rsid w:val="003219A2"/>
    <w:rsid w:val="00322ECB"/>
    <w:rsid w:val="00325219"/>
    <w:rsid w:val="0032591A"/>
    <w:rsid w:val="00325D5B"/>
    <w:rsid w:val="00330900"/>
    <w:rsid w:val="0033245D"/>
    <w:rsid w:val="00335D1E"/>
    <w:rsid w:val="00336124"/>
    <w:rsid w:val="00346415"/>
    <w:rsid w:val="00347862"/>
    <w:rsid w:val="00371647"/>
    <w:rsid w:val="0037175D"/>
    <w:rsid w:val="00372905"/>
    <w:rsid w:val="00374305"/>
    <w:rsid w:val="00375BCB"/>
    <w:rsid w:val="00381A27"/>
    <w:rsid w:val="003840E7"/>
    <w:rsid w:val="0039296D"/>
    <w:rsid w:val="003A02D4"/>
    <w:rsid w:val="003A0D6E"/>
    <w:rsid w:val="003B3765"/>
    <w:rsid w:val="003B5B7C"/>
    <w:rsid w:val="003B78A4"/>
    <w:rsid w:val="003C006B"/>
    <w:rsid w:val="003D0BD5"/>
    <w:rsid w:val="003D1BAF"/>
    <w:rsid w:val="003D1EEC"/>
    <w:rsid w:val="003D5A24"/>
    <w:rsid w:val="003D6E4A"/>
    <w:rsid w:val="003F02E3"/>
    <w:rsid w:val="003F0759"/>
    <w:rsid w:val="003F2416"/>
    <w:rsid w:val="003F70FF"/>
    <w:rsid w:val="004105D7"/>
    <w:rsid w:val="00411B53"/>
    <w:rsid w:val="00412AFA"/>
    <w:rsid w:val="004252F7"/>
    <w:rsid w:val="00426189"/>
    <w:rsid w:val="0042676A"/>
    <w:rsid w:val="00426FC3"/>
    <w:rsid w:val="00433805"/>
    <w:rsid w:val="00433DB3"/>
    <w:rsid w:val="00450F9C"/>
    <w:rsid w:val="00456421"/>
    <w:rsid w:val="00456A6C"/>
    <w:rsid w:val="00463680"/>
    <w:rsid w:val="004706E7"/>
    <w:rsid w:val="00471629"/>
    <w:rsid w:val="0047610C"/>
    <w:rsid w:val="004770B8"/>
    <w:rsid w:val="00477F7D"/>
    <w:rsid w:val="00487750"/>
    <w:rsid w:val="004968D0"/>
    <w:rsid w:val="00496C1D"/>
    <w:rsid w:val="004A37D4"/>
    <w:rsid w:val="004A3D83"/>
    <w:rsid w:val="004A41D7"/>
    <w:rsid w:val="004B1930"/>
    <w:rsid w:val="004B4870"/>
    <w:rsid w:val="004B563C"/>
    <w:rsid w:val="004B5993"/>
    <w:rsid w:val="004B5AC7"/>
    <w:rsid w:val="004C0E9E"/>
    <w:rsid w:val="004C5E9D"/>
    <w:rsid w:val="004C61B7"/>
    <w:rsid w:val="004C75D8"/>
    <w:rsid w:val="004D29C8"/>
    <w:rsid w:val="004D79B1"/>
    <w:rsid w:val="004E133F"/>
    <w:rsid w:val="004E505E"/>
    <w:rsid w:val="004E5535"/>
    <w:rsid w:val="004E7692"/>
    <w:rsid w:val="004F3628"/>
    <w:rsid w:val="004F6E7E"/>
    <w:rsid w:val="00513281"/>
    <w:rsid w:val="00514451"/>
    <w:rsid w:val="005147D5"/>
    <w:rsid w:val="005158C0"/>
    <w:rsid w:val="0052082F"/>
    <w:rsid w:val="00522625"/>
    <w:rsid w:val="005226C6"/>
    <w:rsid w:val="005470F3"/>
    <w:rsid w:val="00555338"/>
    <w:rsid w:val="00555733"/>
    <w:rsid w:val="0056159B"/>
    <w:rsid w:val="0056185A"/>
    <w:rsid w:val="00565D6C"/>
    <w:rsid w:val="0058586D"/>
    <w:rsid w:val="00590746"/>
    <w:rsid w:val="00592165"/>
    <w:rsid w:val="005A14BF"/>
    <w:rsid w:val="005A1596"/>
    <w:rsid w:val="005A3C6F"/>
    <w:rsid w:val="005A4D62"/>
    <w:rsid w:val="005A5065"/>
    <w:rsid w:val="005B02FE"/>
    <w:rsid w:val="005C0B75"/>
    <w:rsid w:val="005C4094"/>
    <w:rsid w:val="005C496E"/>
    <w:rsid w:val="005D2878"/>
    <w:rsid w:val="005D4340"/>
    <w:rsid w:val="005D56CC"/>
    <w:rsid w:val="005E1067"/>
    <w:rsid w:val="005E739E"/>
    <w:rsid w:val="005F2288"/>
    <w:rsid w:val="005F6621"/>
    <w:rsid w:val="0060369A"/>
    <w:rsid w:val="006051FE"/>
    <w:rsid w:val="00605339"/>
    <w:rsid w:val="006076B4"/>
    <w:rsid w:val="006076BF"/>
    <w:rsid w:val="00607B29"/>
    <w:rsid w:val="00613A72"/>
    <w:rsid w:val="00621646"/>
    <w:rsid w:val="0062603E"/>
    <w:rsid w:val="00632321"/>
    <w:rsid w:val="006335B3"/>
    <w:rsid w:val="00633CEE"/>
    <w:rsid w:val="0063443C"/>
    <w:rsid w:val="00635CBF"/>
    <w:rsid w:val="0064158C"/>
    <w:rsid w:val="006439DB"/>
    <w:rsid w:val="0064741D"/>
    <w:rsid w:val="00650A9E"/>
    <w:rsid w:val="006520F0"/>
    <w:rsid w:val="00654A66"/>
    <w:rsid w:val="00655229"/>
    <w:rsid w:val="0065524B"/>
    <w:rsid w:val="00657639"/>
    <w:rsid w:val="00657C35"/>
    <w:rsid w:val="00670AD5"/>
    <w:rsid w:val="0067241B"/>
    <w:rsid w:val="006750A7"/>
    <w:rsid w:val="0067594E"/>
    <w:rsid w:val="006810B1"/>
    <w:rsid w:val="00683ACD"/>
    <w:rsid w:val="00684304"/>
    <w:rsid w:val="006904E1"/>
    <w:rsid w:val="0069277F"/>
    <w:rsid w:val="00692A17"/>
    <w:rsid w:val="00693F54"/>
    <w:rsid w:val="00695100"/>
    <w:rsid w:val="00695841"/>
    <w:rsid w:val="006A33A5"/>
    <w:rsid w:val="006B033A"/>
    <w:rsid w:val="006B2A5D"/>
    <w:rsid w:val="006B41D7"/>
    <w:rsid w:val="006B531D"/>
    <w:rsid w:val="006C001F"/>
    <w:rsid w:val="006D041D"/>
    <w:rsid w:val="006D0557"/>
    <w:rsid w:val="006D24A7"/>
    <w:rsid w:val="006D3EA2"/>
    <w:rsid w:val="006D413E"/>
    <w:rsid w:val="006D59EA"/>
    <w:rsid w:val="006D6492"/>
    <w:rsid w:val="006E05AE"/>
    <w:rsid w:val="006E59B9"/>
    <w:rsid w:val="006E733C"/>
    <w:rsid w:val="006E76BF"/>
    <w:rsid w:val="006E7D79"/>
    <w:rsid w:val="006F4E0A"/>
    <w:rsid w:val="00700152"/>
    <w:rsid w:val="00701B72"/>
    <w:rsid w:val="0070342C"/>
    <w:rsid w:val="00704B2D"/>
    <w:rsid w:val="00705A15"/>
    <w:rsid w:val="007068D6"/>
    <w:rsid w:val="00706AE0"/>
    <w:rsid w:val="007107EF"/>
    <w:rsid w:val="00711EAF"/>
    <w:rsid w:val="00720458"/>
    <w:rsid w:val="00720D94"/>
    <w:rsid w:val="007217C9"/>
    <w:rsid w:val="00726A0A"/>
    <w:rsid w:val="00733B8E"/>
    <w:rsid w:val="0074328F"/>
    <w:rsid w:val="00747D16"/>
    <w:rsid w:val="0075122F"/>
    <w:rsid w:val="00760BA4"/>
    <w:rsid w:val="00766DC2"/>
    <w:rsid w:val="00772292"/>
    <w:rsid w:val="00772C9B"/>
    <w:rsid w:val="007830C5"/>
    <w:rsid w:val="00787D31"/>
    <w:rsid w:val="0079065C"/>
    <w:rsid w:val="00794F05"/>
    <w:rsid w:val="0079587E"/>
    <w:rsid w:val="007A1B48"/>
    <w:rsid w:val="007A2BB8"/>
    <w:rsid w:val="007A4308"/>
    <w:rsid w:val="007A450C"/>
    <w:rsid w:val="007B0B82"/>
    <w:rsid w:val="007C0996"/>
    <w:rsid w:val="007C1151"/>
    <w:rsid w:val="007C2674"/>
    <w:rsid w:val="007C2E06"/>
    <w:rsid w:val="007C63A2"/>
    <w:rsid w:val="007D5092"/>
    <w:rsid w:val="007D7E1C"/>
    <w:rsid w:val="007E39A1"/>
    <w:rsid w:val="007E55E3"/>
    <w:rsid w:val="007F1F14"/>
    <w:rsid w:val="007F275C"/>
    <w:rsid w:val="007F4526"/>
    <w:rsid w:val="00803868"/>
    <w:rsid w:val="008039CA"/>
    <w:rsid w:val="00803CAD"/>
    <w:rsid w:val="008060ED"/>
    <w:rsid w:val="00813AAC"/>
    <w:rsid w:val="008176F0"/>
    <w:rsid w:val="008234AD"/>
    <w:rsid w:val="00825374"/>
    <w:rsid w:val="0082773A"/>
    <w:rsid w:val="0083190E"/>
    <w:rsid w:val="00831A72"/>
    <w:rsid w:val="00833A32"/>
    <w:rsid w:val="00835599"/>
    <w:rsid w:val="00840126"/>
    <w:rsid w:val="0084133B"/>
    <w:rsid w:val="0084164D"/>
    <w:rsid w:val="008424D7"/>
    <w:rsid w:val="00843BD5"/>
    <w:rsid w:val="00850D93"/>
    <w:rsid w:val="00855084"/>
    <w:rsid w:val="0085596F"/>
    <w:rsid w:val="00866CD9"/>
    <w:rsid w:val="0087761C"/>
    <w:rsid w:val="00882AA6"/>
    <w:rsid w:val="00882C4C"/>
    <w:rsid w:val="00882DF7"/>
    <w:rsid w:val="00885D73"/>
    <w:rsid w:val="00891855"/>
    <w:rsid w:val="008922A9"/>
    <w:rsid w:val="008935CD"/>
    <w:rsid w:val="008957EB"/>
    <w:rsid w:val="00895EAA"/>
    <w:rsid w:val="00897282"/>
    <w:rsid w:val="008A3477"/>
    <w:rsid w:val="008A56C4"/>
    <w:rsid w:val="008A6D12"/>
    <w:rsid w:val="008B21C1"/>
    <w:rsid w:val="008B3493"/>
    <w:rsid w:val="008B4C84"/>
    <w:rsid w:val="008B74DC"/>
    <w:rsid w:val="008C760C"/>
    <w:rsid w:val="008C7A8D"/>
    <w:rsid w:val="008D032B"/>
    <w:rsid w:val="008D295E"/>
    <w:rsid w:val="008D300C"/>
    <w:rsid w:val="008E0FCF"/>
    <w:rsid w:val="008E4B11"/>
    <w:rsid w:val="008E58F4"/>
    <w:rsid w:val="008E6D01"/>
    <w:rsid w:val="008F18D8"/>
    <w:rsid w:val="008F4748"/>
    <w:rsid w:val="008F4E78"/>
    <w:rsid w:val="008F6ED1"/>
    <w:rsid w:val="008F776C"/>
    <w:rsid w:val="00900C86"/>
    <w:rsid w:val="009033CD"/>
    <w:rsid w:val="00915EB7"/>
    <w:rsid w:val="00917959"/>
    <w:rsid w:val="0092187C"/>
    <w:rsid w:val="0092308A"/>
    <w:rsid w:val="00926767"/>
    <w:rsid w:val="0092699A"/>
    <w:rsid w:val="00943BA9"/>
    <w:rsid w:val="00945000"/>
    <w:rsid w:val="00945198"/>
    <w:rsid w:val="0095514F"/>
    <w:rsid w:val="009559D6"/>
    <w:rsid w:val="00956E8D"/>
    <w:rsid w:val="00963B23"/>
    <w:rsid w:val="0096707E"/>
    <w:rsid w:val="00967FB4"/>
    <w:rsid w:val="009712BD"/>
    <w:rsid w:val="00974642"/>
    <w:rsid w:val="0097674E"/>
    <w:rsid w:val="00980A0E"/>
    <w:rsid w:val="0098569A"/>
    <w:rsid w:val="00987BF4"/>
    <w:rsid w:val="00990EDC"/>
    <w:rsid w:val="00990EF8"/>
    <w:rsid w:val="00991976"/>
    <w:rsid w:val="0099482E"/>
    <w:rsid w:val="00994B45"/>
    <w:rsid w:val="00995A04"/>
    <w:rsid w:val="00995FDB"/>
    <w:rsid w:val="009A02B6"/>
    <w:rsid w:val="009A6391"/>
    <w:rsid w:val="009A72FB"/>
    <w:rsid w:val="009B6227"/>
    <w:rsid w:val="009C0E4D"/>
    <w:rsid w:val="009C2D44"/>
    <w:rsid w:val="009C6A33"/>
    <w:rsid w:val="009C725D"/>
    <w:rsid w:val="009D3C65"/>
    <w:rsid w:val="009D4073"/>
    <w:rsid w:val="009E0BE5"/>
    <w:rsid w:val="009E457A"/>
    <w:rsid w:val="009F5C5C"/>
    <w:rsid w:val="009F7ECA"/>
    <w:rsid w:val="00A1580C"/>
    <w:rsid w:val="00A17F2F"/>
    <w:rsid w:val="00A23A7B"/>
    <w:rsid w:val="00A30FA6"/>
    <w:rsid w:val="00A32429"/>
    <w:rsid w:val="00A33D30"/>
    <w:rsid w:val="00A33E5F"/>
    <w:rsid w:val="00A360B5"/>
    <w:rsid w:val="00A41E35"/>
    <w:rsid w:val="00A44986"/>
    <w:rsid w:val="00A5194B"/>
    <w:rsid w:val="00A6097A"/>
    <w:rsid w:val="00A60C6E"/>
    <w:rsid w:val="00A624FF"/>
    <w:rsid w:val="00A64E7D"/>
    <w:rsid w:val="00A65182"/>
    <w:rsid w:val="00A65FE1"/>
    <w:rsid w:val="00A70B55"/>
    <w:rsid w:val="00A85997"/>
    <w:rsid w:val="00A86914"/>
    <w:rsid w:val="00AA2A24"/>
    <w:rsid w:val="00AA46BD"/>
    <w:rsid w:val="00AA764F"/>
    <w:rsid w:val="00AA7DD1"/>
    <w:rsid w:val="00AB1260"/>
    <w:rsid w:val="00AB14A2"/>
    <w:rsid w:val="00AC1154"/>
    <w:rsid w:val="00AC70A7"/>
    <w:rsid w:val="00AD1724"/>
    <w:rsid w:val="00AE0D75"/>
    <w:rsid w:val="00AE0E93"/>
    <w:rsid w:val="00AE2053"/>
    <w:rsid w:val="00AF22E0"/>
    <w:rsid w:val="00AF5EB8"/>
    <w:rsid w:val="00AF6234"/>
    <w:rsid w:val="00AF68AE"/>
    <w:rsid w:val="00B009CE"/>
    <w:rsid w:val="00B0369A"/>
    <w:rsid w:val="00B070B8"/>
    <w:rsid w:val="00B07CB4"/>
    <w:rsid w:val="00B11C17"/>
    <w:rsid w:val="00B143D3"/>
    <w:rsid w:val="00B16763"/>
    <w:rsid w:val="00B17CBD"/>
    <w:rsid w:val="00B20901"/>
    <w:rsid w:val="00B22D9D"/>
    <w:rsid w:val="00B2757B"/>
    <w:rsid w:val="00B3550B"/>
    <w:rsid w:val="00B37060"/>
    <w:rsid w:val="00B3725C"/>
    <w:rsid w:val="00B43C6F"/>
    <w:rsid w:val="00B46596"/>
    <w:rsid w:val="00B46DAD"/>
    <w:rsid w:val="00B47EA8"/>
    <w:rsid w:val="00B51D33"/>
    <w:rsid w:val="00B51EB4"/>
    <w:rsid w:val="00B525B2"/>
    <w:rsid w:val="00B5281B"/>
    <w:rsid w:val="00B54771"/>
    <w:rsid w:val="00B62DAF"/>
    <w:rsid w:val="00B63ECD"/>
    <w:rsid w:val="00B640FC"/>
    <w:rsid w:val="00B64802"/>
    <w:rsid w:val="00B81D96"/>
    <w:rsid w:val="00B875FE"/>
    <w:rsid w:val="00B9363E"/>
    <w:rsid w:val="00B9545D"/>
    <w:rsid w:val="00B95DCA"/>
    <w:rsid w:val="00B96895"/>
    <w:rsid w:val="00BA05FF"/>
    <w:rsid w:val="00BA7064"/>
    <w:rsid w:val="00BB13D7"/>
    <w:rsid w:val="00BB7274"/>
    <w:rsid w:val="00BC01EE"/>
    <w:rsid w:val="00BC3119"/>
    <w:rsid w:val="00BC650E"/>
    <w:rsid w:val="00BD0A8D"/>
    <w:rsid w:val="00BD16DB"/>
    <w:rsid w:val="00BD1851"/>
    <w:rsid w:val="00BD481E"/>
    <w:rsid w:val="00BD6DBB"/>
    <w:rsid w:val="00BE0D30"/>
    <w:rsid w:val="00BE34D2"/>
    <w:rsid w:val="00BE39E1"/>
    <w:rsid w:val="00BE607F"/>
    <w:rsid w:val="00BF0C19"/>
    <w:rsid w:val="00BF59CD"/>
    <w:rsid w:val="00C04660"/>
    <w:rsid w:val="00C1148B"/>
    <w:rsid w:val="00C13EC4"/>
    <w:rsid w:val="00C2017E"/>
    <w:rsid w:val="00C24D46"/>
    <w:rsid w:val="00C3680B"/>
    <w:rsid w:val="00C51008"/>
    <w:rsid w:val="00C5336A"/>
    <w:rsid w:val="00C5542C"/>
    <w:rsid w:val="00C57761"/>
    <w:rsid w:val="00C6209B"/>
    <w:rsid w:val="00C63189"/>
    <w:rsid w:val="00C6348E"/>
    <w:rsid w:val="00C72BD0"/>
    <w:rsid w:val="00C76357"/>
    <w:rsid w:val="00C86622"/>
    <w:rsid w:val="00C96640"/>
    <w:rsid w:val="00CA664B"/>
    <w:rsid w:val="00CB185A"/>
    <w:rsid w:val="00CB294A"/>
    <w:rsid w:val="00CB4E2F"/>
    <w:rsid w:val="00CB6959"/>
    <w:rsid w:val="00CC44E9"/>
    <w:rsid w:val="00CD08C3"/>
    <w:rsid w:val="00CD1B5C"/>
    <w:rsid w:val="00CD1E2B"/>
    <w:rsid w:val="00CD6863"/>
    <w:rsid w:val="00CD7DAC"/>
    <w:rsid w:val="00CE0C5C"/>
    <w:rsid w:val="00CE16DF"/>
    <w:rsid w:val="00CE30EA"/>
    <w:rsid w:val="00CE5B24"/>
    <w:rsid w:val="00CE6113"/>
    <w:rsid w:val="00CF3760"/>
    <w:rsid w:val="00CF742E"/>
    <w:rsid w:val="00D00895"/>
    <w:rsid w:val="00D05AD5"/>
    <w:rsid w:val="00D060DF"/>
    <w:rsid w:val="00D070B6"/>
    <w:rsid w:val="00D12EAF"/>
    <w:rsid w:val="00D26179"/>
    <w:rsid w:val="00D311CB"/>
    <w:rsid w:val="00D33853"/>
    <w:rsid w:val="00D352AD"/>
    <w:rsid w:val="00D41639"/>
    <w:rsid w:val="00D44F70"/>
    <w:rsid w:val="00D45029"/>
    <w:rsid w:val="00D479C5"/>
    <w:rsid w:val="00D47DF6"/>
    <w:rsid w:val="00D5532D"/>
    <w:rsid w:val="00D613F2"/>
    <w:rsid w:val="00D64A99"/>
    <w:rsid w:val="00D713F4"/>
    <w:rsid w:val="00D727F2"/>
    <w:rsid w:val="00D757D2"/>
    <w:rsid w:val="00D8127B"/>
    <w:rsid w:val="00D8290D"/>
    <w:rsid w:val="00D83A2C"/>
    <w:rsid w:val="00D867BF"/>
    <w:rsid w:val="00D940AC"/>
    <w:rsid w:val="00DA0DBB"/>
    <w:rsid w:val="00DA3D6B"/>
    <w:rsid w:val="00DB13F4"/>
    <w:rsid w:val="00DB1C20"/>
    <w:rsid w:val="00DB3432"/>
    <w:rsid w:val="00DB4076"/>
    <w:rsid w:val="00DB5C39"/>
    <w:rsid w:val="00DC4C44"/>
    <w:rsid w:val="00DC74FE"/>
    <w:rsid w:val="00DC7F15"/>
    <w:rsid w:val="00DD36C7"/>
    <w:rsid w:val="00DD45BA"/>
    <w:rsid w:val="00DD4AD9"/>
    <w:rsid w:val="00DD6034"/>
    <w:rsid w:val="00DD6AE8"/>
    <w:rsid w:val="00DE1952"/>
    <w:rsid w:val="00DE2627"/>
    <w:rsid w:val="00DE369E"/>
    <w:rsid w:val="00DF2824"/>
    <w:rsid w:val="00DF3376"/>
    <w:rsid w:val="00DF3AAF"/>
    <w:rsid w:val="00E00156"/>
    <w:rsid w:val="00E06374"/>
    <w:rsid w:val="00E06AAF"/>
    <w:rsid w:val="00E13AC4"/>
    <w:rsid w:val="00E21D44"/>
    <w:rsid w:val="00E2699C"/>
    <w:rsid w:val="00E2710D"/>
    <w:rsid w:val="00E33195"/>
    <w:rsid w:val="00E42FEF"/>
    <w:rsid w:val="00E4348B"/>
    <w:rsid w:val="00E53FC3"/>
    <w:rsid w:val="00E56894"/>
    <w:rsid w:val="00E60634"/>
    <w:rsid w:val="00E65E3B"/>
    <w:rsid w:val="00E72B83"/>
    <w:rsid w:val="00E7381C"/>
    <w:rsid w:val="00E7466C"/>
    <w:rsid w:val="00E801BF"/>
    <w:rsid w:val="00E87DCF"/>
    <w:rsid w:val="00E92F2D"/>
    <w:rsid w:val="00E93BCB"/>
    <w:rsid w:val="00E9664D"/>
    <w:rsid w:val="00E9674B"/>
    <w:rsid w:val="00EA081F"/>
    <w:rsid w:val="00EA1EDF"/>
    <w:rsid w:val="00EA3F37"/>
    <w:rsid w:val="00EA4CA6"/>
    <w:rsid w:val="00EB0790"/>
    <w:rsid w:val="00EB196D"/>
    <w:rsid w:val="00EB4161"/>
    <w:rsid w:val="00EB47A4"/>
    <w:rsid w:val="00EB50F6"/>
    <w:rsid w:val="00EB61E9"/>
    <w:rsid w:val="00EC229D"/>
    <w:rsid w:val="00EC23C9"/>
    <w:rsid w:val="00EC3774"/>
    <w:rsid w:val="00EC475C"/>
    <w:rsid w:val="00EC4FBA"/>
    <w:rsid w:val="00ED18B6"/>
    <w:rsid w:val="00ED78CB"/>
    <w:rsid w:val="00EE3507"/>
    <w:rsid w:val="00EF1812"/>
    <w:rsid w:val="00EF2C1E"/>
    <w:rsid w:val="00F01439"/>
    <w:rsid w:val="00F027E0"/>
    <w:rsid w:val="00F03323"/>
    <w:rsid w:val="00F033D3"/>
    <w:rsid w:val="00F07C96"/>
    <w:rsid w:val="00F126B3"/>
    <w:rsid w:val="00F15673"/>
    <w:rsid w:val="00F15714"/>
    <w:rsid w:val="00F1582F"/>
    <w:rsid w:val="00F22203"/>
    <w:rsid w:val="00F240D9"/>
    <w:rsid w:val="00F27862"/>
    <w:rsid w:val="00F30F14"/>
    <w:rsid w:val="00F3429A"/>
    <w:rsid w:val="00F36E8F"/>
    <w:rsid w:val="00F519C6"/>
    <w:rsid w:val="00F52875"/>
    <w:rsid w:val="00F5426A"/>
    <w:rsid w:val="00F62875"/>
    <w:rsid w:val="00F66245"/>
    <w:rsid w:val="00F72E1F"/>
    <w:rsid w:val="00F737B7"/>
    <w:rsid w:val="00F74740"/>
    <w:rsid w:val="00F750E4"/>
    <w:rsid w:val="00F75A39"/>
    <w:rsid w:val="00F80E8A"/>
    <w:rsid w:val="00F815BC"/>
    <w:rsid w:val="00F87461"/>
    <w:rsid w:val="00F87820"/>
    <w:rsid w:val="00F879A2"/>
    <w:rsid w:val="00F90C49"/>
    <w:rsid w:val="00F951ED"/>
    <w:rsid w:val="00F95E38"/>
    <w:rsid w:val="00F96651"/>
    <w:rsid w:val="00FA16B1"/>
    <w:rsid w:val="00FA24B3"/>
    <w:rsid w:val="00FA2F1B"/>
    <w:rsid w:val="00FA6D74"/>
    <w:rsid w:val="00FB3DD5"/>
    <w:rsid w:val="00FC77DC"/>
    <w:rsid w:val="00FD37A0"/>
    <w:rsid w:val="00FD4AE2"/>
    <w:rsid w:val="00FD4C0E"/>
    <w:rsid w:val="00FD55F8"/>
    <w:rsid w:val="00FD751B"/>
    <w:rsid w:val="00FE0A7A"/>
    <w:rsid w:val="00FE3E4D"/>
    <w:rsid w:val="00FF1EE8"/>
    <w:rsid w:val="00FF3A32"/>
    <w:rsid w:val="00FF5D3D"/>
    <w:rsid w:val="00FF62CF"/>
    <w:rsid w:val="00FF777F"/>
    <w:rsid w:val="00FF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7DD082F"/>
  <w15:chartTrackingRefBased/>
  <w15:docId w15:val="{30F31224-3237-41B1-ACB8-33DAC8DEC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14BF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121EC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6385"/>
    <w:pPr>
      <w:keepNext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121EC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3121EC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5">
    <w:name w:val="TOC Heading"/>
    <w:basedOn w:val="1"/>
    <w:next w:val="a"/>
    <w:uiPriority w:val="39"/>
    <w:unhideWhenUsed/>
    <w:qFormat/>
    <w:rsid w:val="003121EC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customStyle="1" w:styleId="Doc-title">
    <w:name w:val="Doc-title"/>
    <w:basedOn w:val="a"/>
    <w:next w:val="a"/>
    <w:link w:val="Doc-titleChar"/>
    <w:qFormat/>
    <w:rsid w:val="0027790E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27790E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6">
    <w:name w:val="Hyperlink"/>
    <w:uiPriority w:val="99"/>
    <w:qFormat/>
    <w:rsid w:val="0027790E"/>
    <w:rPr>
      <w:color w:val="0000FF"/>
      <w:u w:val="single"/>
    </w:rPr>
  </w:style>
  <w:style w:type="paragraph" w:customStyle="1" w:styleId="Agreement">
    <w:name w:val="Agreement"/>
    <w:basedOn w:val="a"/>
    <w:next w:val="a"/>
    <w:qFormat/>
    <w:rsid w:val="0027790E"/>
    <w:pPr>
      <w:widowControl/>
      <w:numPr>
        <w:numId w:val="3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styleId="a7">
    <w:name w:val="header"/>
    <w:basedOn w:val="a"/>
    <w:link w:val="a8"/>
    <w:uiPriority w:val="99"/>
    <w:unhideWhenUsed/>
    <w:rsid w:val="00BC65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BC650E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BC65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BC650E"/>
    <w:rPr>
      <w:sz w:val="20"/>
      <w:szCs w:val="20"/>
    </w:rPr>
  </w:style>
  <w:style w:type="paragraph" w:customStyle="1" w:styleId="CRCoverPage">
    <w:name w:val="CR Cover Page"/>
    <w:link w:val="CRCoverPageZchn"/>
    <w:qFormat/>
    <w:rsid w:val="0092699A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92699A"/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1C5902"/>
    <w:pPr>
      <w:keepNext/>
      <w:keepLines/>
      <w:widowControl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1C5902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rsid w:val="001C590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1C5902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1C590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1C5902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styleId="ab">
    <w:name w:val="Unresolved Mention"/>
    <w:basedOn w:val="a0"/>
    <w:uiPriority w:val="99"/>
    <w:semiHidden/>
    <w:unhideWhenUsed/>
    <w:rsid w:val="001C5902"/>
    <w:rPr>
      <w:color w:val="605E5C"/>
      <w:shd w:val="clear" w:color="auto" w:fill="E1DFDD"/>
    </w:rPr>
  </w:style>
  <w:style w:type="character" w:customStyle="1" w:styleId="80">
    <w:name w:val="標題 8 字元"/>
    <w:basedOn w:val="a0"/>
    <w:link w:val="8"/>
    <w:uiPriority w:val="9"/>
    <w:semiHidden/>
    <w:rsid w:val="00246385"/>
    <w:rPr>
      <w:rFonts w:asciiTheme="majorHAnsi" w:eastAsiaTheme="majorEastAsia" w:hAnsiTheme="majorHAnsi" w:cstheme="majorBidi"/>
      <w:sz w:val="36"/>
      <w:szCs w:val="36"/>
    </w:rPr>
  </w:style>
  <w:style w:type="table" w:styleId="ac">
    <w:name w:val="Table Grid"/>
    <w:basedOn w:val="a1"/>
    <w:uiPriority w:val="39"/>
    <w:rsid w:val="00AA2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清單段落 字元"/>
    <w:link w:val="a3"/>
    <w:uiPriority w:val="34"/>
    <w:qFormat/>
    <w:locked/>
    <w:rsid w:val="0064741D"/>
  </w:style>
  <w:style w:type="character" w:customStyle="1" w:styleId="TANChar">
    <w:name w:val="TAN Char"/>
    <w:link w:val="TAN"/>
    <w:qFormat/>
    <w:locked/>
    <w:rsid w:val="001264BE"/>
    <w:rPr>
      <w:rFonts w:ascii="Arial" w:hAnsi="Arial" w:cs="Arial"/>
      <w:sz w:val="18"/>
      <w:lang w:eastAsia="en-US"/>
    </w:rPr>
  </w:style>
  <w:style w:type="paragraph" w:customStyle="1" w:styleId="TAN">
    <w:name w:val="TAN"/>
    <w:basedOn w:val="a"/>
    <w:link w:val="TANChar"/>
    <w:qFormat/>
    <w:rsid w:val="001264BE"/>
    <w:pPr>
      <w:keepNext/>
      <w:keepLines/>
      <w:widowControl/>
      <w:ind w:left="851" w:hanging="851"/>
    </w:pPr>
    <w:rPr>
      <w:rFonts w:ascii="Arial" w:hAnsi="Arial" w:cs="Arial"/>
      <w:sz w:val="18"/>
      <w:lang w:eastAsia="en-US"/>
    </w:rPr>
  </w:style>
  <w:style w:type="character" w:customStyle="1" w:styleId="Doc-text2Char">
    <w:name w:val="Doc-text2 Char"/>
    <w:link w:val="Doc-text2"/>
    <w:qFormat/>
    <w:locked/>
    <w:rsid w:val="009C0E4D"/>
    <w:rPr>
      <w:rFonts w:ascii="Arial" w:eastAsia="Times New Roman" w:hAnsi="Arial" w:cs="Arial"/>
      <w:lang w:eastAsia="ja-JP"/>
    </w:rPr>
  </w:style>
  <w:style w:type="paragraph" w:customStyle="1" w:styleId="Doc-text2">
    <w:name w:val="Doc-text2"/>
    <w:basedOn w:val="a"/>
    <w:link w:val="Doc-text2Char"/>
    <w:qFormat/>
    <w:rsid w:val="009C0E4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lang w:eastAsia="ja-JP"/>
    </w:rPr>
  </w:style>
  <w:style w:type="paragraph" w:styleId="ad">
    <w:name w:val="Body Text"/>
    <w:basedOn w:val="a"/>
    <w:link w:val="ae"/>
    <w:uiPriority w:val="99"/>
    <w:semiHidden/>
    <w:unhideWhenUsed/>
    <w:rsid w:val="006B033A"/>
    <w:pPr>
      <w:widowControl/>
      <w:overflowPunct w:val="0"/>
      <w:autoSpaceDE w:val="0"/>
      <w:autoSpaceDN w:val="0"/>
      <w:spacing w:after="120"/>
      <w:jc w:val="both"/>
    </w:pPr>
    <w:rPr>
      <w:rFonts w:ascii="Arial" w:eastAsia="新細明體" w:hAnsi="Arial" w:cs="Arial"/>
      <w:kern w:val="0"/>
      <w:sz w:val="20"/>
      <w:szCs w:val="20"/>
      <w:lang w:eastAsia="zh-CN"/>
    </w:rPr>
  </w:style>
  <w:style w:type="character" w:customStyle="1" w:styleId="ae">
    <w:name w:val="本文 字元"/>
    <w:basedOn w:val="a0"/>
    <w:link w:val="ad"/>
    <w:uiPriority w:val="99"/>
    <w:semiHidden/>
    <w:rsid w:val="006B033A"/>
    <w:rPr>
      <w:rFonts w:ascii="Arial" w:eastAsia="新細明體" w:hAnsi="Arial" w:cs="Arial"/>
      <w:kern w:val="0"/>
      <w:sz w:val="20"/>
      <w:szCs w:val="20"/>
      <w:lang w:eastAsia="zh-CN"/>
    </w:rPr>
  </w:style>
  <w:style w:type="character" w:styleId="af">
    <w:name w:val="Emphasis"/>
    <w:basedOn w:val="a0"/>
    <w:uiPriority w:val="20"/>
    <w:qFormat/>
    <w:rsid w:val="006B033A"/>
    <w:rPr>
      <w:i/>
      <w:iCs/>
    </w:rPr>
  </w:style>
  <w:style w:type="character" w:customStyle="1" w:styleId="ui-provider">
    <w:name w:val="ui-provider"/>
    <w:basedOn w:val="a0"/>
    <w:rsid w:val="00D12E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3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FC4D8-1DD2-4609-98E6-6F36CA99F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1365</Words>
  <Characters>7786</Characters>
  <Application>Microsoft Office Word</Application>
  <DocSecurity>0</DocSecurity>
  <Lines>64</Lines>
  <Paragraphs>18</Paragraphs>
  <ScaleCrop>false</ScaleCrop>
  <Company>MTK</Company>
  <LinksUpToDate>false</LinksUpToDate>
  <CharactersWithSpaces>9133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Morton Lin (林牧台)</dc:creator>
  <cp:keywords/>
  <dc:description/>
  <cp:lastModifiedBy>Morton Lin (林牧台)</cp:lastModifiedBy>
  <cp:revision>2</cp:revision>
  <dcterms:created xsi:type="dcterms:W3CDTF">2023-05-12T08:47:00Z</dcterms:created>
  <dcterms:modified xsi:type="dcterms:W3CDTF">2023-05-12T08:47:00Z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2022-11-01T09:19:46Z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6c280fb2-3c7e-486a-b825-65b9ab43dc60</vt:lpwstr>
  </property>
  <property fmtid="{D5CDD505-2E9C-101B-9397-08002B2CF9AE}" pid="8" name="MSIP_Label_83bcef13-7cac-433f-ba1d-47a323951816_ContentBits">
    <vt:lpwstr>0</vt:lpwstr>
  </property>
</Properties>
</file>